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Style w:val="13"/>
        </w:rPr>
      </w:pPr>
      <w:r>
        <w:rPr>
          <w:rStyle w:val="13"/>
          <w:rFonts w:hint="eastAsia"/>
        </w:rPr>
        <w:t>国家开放大学</w:t>
      </w:r>
    </w:p>
    <w:p>
      <w:pPr>
        <w:jc w:val="center"/>
        <w:rPr>
          <w:rStyle w:val="14"/>
        </w:rPr>
      </w:pPr>
    </w:p>
    <w:p>
      <w:pPr>
        <w:jc w:val="center"/>
        <w:rPr>
          <w:rStyle w:val="14"/>
          <w:sz w:val="52"/>
          <w:szCs w:val="52"/>
        </w:rPr>
      </w:pPr>
      <w:r>
        <w:rPr>
          <w:rStyle w:val="14"/>
          <w:rFonts w:hint="eastAsia"/>
          <w:sz w:val="52"/>
          <w:szCs w:val="52"/>
        </w:rPr>
        <w:t>本科毕业论文</w:t>
      </w:r>
    </w:p>
    <w:p>
      <w:pPr>
        <w:jc w:val="center"/>
        <w:rPr>
          <w:rStyle w:val="14"/>
        </w:rPr>
      </w:pPr>
    </w:p>
    <w:p>
      <w:pPr>
        <w:spacing w:line="360" w:lineRule="auto"/>
        <w:jc w:val="center"/>
        <w:rPr>
          <w:rFonts w:ascii="宋体" w:hAnsi="宋体"/>
          <w:sz w:val="28"/>
          <w:szCs w:val="28"/>
        </w:rPr>
      </w:pPr>
      <w:r>
        <w:rPr>
          <w:rFonts w:hint="eastAsia" w:ascii="宋体" w:hAnsi="宋体"/>
          <w:sz w:val="28"/>
          <w:szCs w:val="28"/>
        </w:rPr>
        <w:t>浅谈广东冠豪高新技术有限公司物流管理存在的问题与对策</w:t>
      </w:r>
    </w:p>
    <w:p>
      <w:pPr>
        <w:jc w:val="center"/>
        <w:rPr>
          <w:rStyle w:val="14"/>
          <w:rFonts w:ascii="楷体" w:hAnsi="楷体" w:eastAsia="楷体"/>
          <w:sz w:val="28"/>
          <w:szCs w:val="28"/>
        </w:rPr>
      </w:pPr>
      <w:r>
        <w:rPr>
          <w:rFonts w:hint="eastAsia" w:ascii="楷体" w:hAnsi="楷体" w:eastAsia="楷体"/>
          <w:color w:val="FF0000"/>
          <w:sz w:val="28"/>
          <w:szCs w:val="28"/>
        </w:rPr>
        <w:t>(四号宋体字不加粗)</w:t>
      </w:r>
      <w:r>
        <w:rPr>
          <w:rStyle w:val="14"/>
          <w:rFonts w:ascii="楷体" w:hAnsi="楷体" w:eastAsia="楷体"/>
          <w:sz w:val="28"/>
          <w:szCs w:val="28"/>
        </w:rPr>
        <w:tab/>
      </w:r>
    </w:p>
    <w:p>
      <w:pPr>
        <w:jc w:val="center"/>
        <w:rPr>
          <w:rStyle w:val="11"/>
        </w:rPr>
      </w:pPr>
    </w:p>
    <w:p>
      <w:pPr>
        <w:tabs>
          <w:tab w:val="left" w:pos="1305"/>
        </w:tabs>
        <w:rPr>
          <w:rStyle w:val="11"/>
        </w:rPr>
      </w:pPr>
      <w:r>
        <w:rPr>
          <w:rStyle w:val="11"/>
        </w:rPr>
        <w:tab/>
      </w:r>
    </w:p>
    <w:p>
      <w:pPr>
        <w:spacing w:before="200" w:line="360" w:lineRule="exact"/>
        <w:ind w:firstLine="2158" w:firstLineChars="771"/>
        <w:rPr>
          <w:rFonts w:ascii="宋体" w:hAnsi="宋体" w:cs="宋体"/>
          <w:kern w:val="0"/>
          <w:sz w:val="28"/>
          <w:szCs w:val="28"/>
        </w:rPr>
      </w:pPr>
      <w:r>
        <w:rPr>
          <w:rFonts w:hint="eastAsia"/>
          <w:sz w:val="28"/>
          <w:szCs w:val="28"/>
        </w:rPr>
        <w:t>分部：</w:t>
      </w:r>
      <w:r>
        <w:rPr>
          <w:rFonts w:hint="eastAsia" w:ascii="宋体" w:hAnsi="宋体" w:cs="宋体"/>
          <w:kern w:val="0"/>
          <w:sz w:val="28"/>
          <w:szCs w:val="28"/>
        </w:rPr>
        <w:t>国开广东分部</w:t>
      </w:r>
    </w:p>
    <w:p>
      <w:pPr>
        <w:spacing w:before="200" w:line="360" w:lineRule="exact"/>
        <w:ind w:firstLine="2158" w:firstLineChars="771"/>
        <w:rPr>
          <w:rFonts w:ascii="宋体" w:hAnsi="宋体"/>
          <w:sz w:val="28"/>
        </w:rPr>
      </w:pPr>
      <w:r>
        <w:rPr>
          <w:rFonts w:hint="eastAsia"/>
          <w:sz w:val="28"/>
        </w:rPr>
        <w:t>学习中心：</w:t>
      </w:r>
      <w:r>
        <w:rPr>
          <w:rFonts w:hint="eastAsia" w:ascii="宋体" w:hAnsi="宋体" w:cs="宋体"/>
          <w:sz w:val="28"/>
        </w:rPr>
        <w:t>湛江开放大学</w:t>
      </w:r>
    </w:p>
    <w:p>
      <w:pPr>
        <w:spacing w:before="200" w:line="360" w:lineRule="exact"/>
        <w:ind w:firstLine="2158" w:firstLineChars="771"/>
        <w:rPr>
          <w:sz w:val="28"/>
        </w:rPr>
      </w:pPr>
      <w:r>
        <w:rPr>
          <w:rFonts w:hint="eastAsia"/>
          <w:sz w:val="28"/>
        </w:rPr>
        <w:t>专业：</w:t>
      </w:r>
      <w:r>
        <w:rPr>
          <w:sz w:val="28"/>
        </w:rPr>
        <w:t xml:space="preserve"> </w:t>
      </w:r>
    </w:p>
    <w:p>
      <w:pPr>
        <w:spacing w:before="200" w:line="360" w:lineRule="exact"/>
        <w:ind w:firstLine="2125" w:firstLineChars="759"/>
        <w:rPr>
          <w:sz w:val="28"/>
        </w:rPr>
      </w:pPr>
      <w:r>
        <w:rPr>
          <w:rFonts w:hint="eastAsia"/>
          <w:sz w:val="28"/>
        </w:rPr>
        <w:t xml:space="preserve">入学时间： </w:t>
      </w:r>
    </w:p>
    <w:p>
      <w:pPr>
        <w:spacing w:before="200" w:line="360" w:lineRule="exact"/>
        <w:ind w:firstLine="2125" w:firstLineChars="759"/>
        <w:rPr>
          <w:sz w:val="28"/>
        </w:rPr>
      </w:pPr>
      <w:r>
        <w:rPr>
          <w:rFonts w:hint="eastAsia"/>
          <w:sz w:val="28"/>
        </w:rPr>
        <w:t>学号：</w:t>
      </w:r>
      <w:r>
        <w:rPr>
          <w:rFonts w:hint="eastAsia" w:ascii="宋体" w:hAnsi="宋体"/>
          <w:sz w:val="28"/>
        </w:rPr>
        <w:t>×××××</w:t>
      </w:r>
    </w:p>
    <w:p>
      <w:pPr>
        <w:spacing w:before="200" w:line="360" w:lineRule="exact"/>
        <w:ind w:firstLine="2125" w:firstLineChars="759"/>
        <w:rPr>
          <w:rFonts w:ascii="宋体" w:hAnsi="宋体"/>
          <w:sz w:val="28"/>
        </w:rPr>
      </w:pPr>
      <w:r>
        <w:rPr>
          <w:rFonts w:hint="eastAsia"/>
          <w:sz w:val="28"/>
        </w:rPr>
        <w:t>姓名：</w:t>
      </w:r>
      <w:r>
        <w:rPr>
          <w:rFonts w:hint="eastAsia" w:ascii="宋体" w:hAnsi="宋体"/>
          <w:sz w:val="28"/>
        </w:rPr>
        <w:t>×××××</w:t>
      </w:r>
    </w:p>
    <w:p>
      <w:pPr>
        <w:spacing w:before="200" w:line="360" w:lineRule="exact"/>
        <w:ind w:firstLine="2125" w:firstLineChars="759"/>
      </w:pPr>
      <w:r>
        <w:rPr>
          <w:rFonts w:hint="eastAsia"/>
          <w:sz w:val="28"/>
        </w:rPr>
        <w:t>指导教师：</w:t>
      </w:r>
      <w:r>
        <w:rPr>
          <w:rFonts w:hint="eastAsia" w:ascii="宋体" w:hAnsi="宋体"/>
          <w:sz w:val="28"/>
        </w:rPr>
        <w:t>×××</w:t>
      </w:r>
      <w:r>
        <w:rPr>
          <w:rFonts w:hint="eastAsia"/>
          <w:sz w:val="28"/>
        </w:rPr>
        <w:t xml:space="preserve">  </w:t>
      </w:r>
      <w:r>
        <w:rPr>
          <w:rFonts w:hint="eastAsia" w:ascii="宋体" w:hAnsi="宋体"/>
          <w:sz w:val="28"/>
        </w:rPr>
        <w:t xml:space="preserve">  </w:t>
      </w:r>
    </w:p>
    <w:p>
      <w:pPr>
        <w:jc w:val="center"/>
        <w:rPr>
          <w:sz w:val="28"/>
        </w:rPr>
      </w:pPr>
    </w:p>
    <w:p>
      <w:pPr>
        <w:jc w:val="center"/>
        <w:rPr>
          <w:sz w:val="28"/>
        </w:rPr>
      </w:pPr>
    </w:p>
    <w:p>
      <w:pPr>
        <w:jc w:val="center"/>
        <w:rPr>
          <w:sz w:val="28"/>
        </w:rPr>
        <w:sectPr>
          <w:headerReference r:id="rId4" w:type="first"/>
          <w:footerReference r:id="rId7" w:type="first"/>
          <w:headerReference r:id="rId3" w:type="default"/>
          <w:footerReference r:id="rId5" w:type="default"/>
          <w:footerReference r:id="rId6" w:type="even"/>
          <w:pgSz w:w="11906" w:h="16838"/>
          <w:pgMar w:top="1474" w:right="1701" w:bottom="1474" w:left="1701" w:header="1021" w:footer="1021" w:gutter="0"/>
          <w:pgNumType w:start="1"/>
          <w:cols w:space="720" w:num="1"/>
          <w:titlePg/>
          <w:docGrid w:type="lines" w:linePitch="312" w:charSpace="0"/>
        </w:sectPr>
      </w:pPr>
      <w:r>
        <w:rPr>
          <w:rFonts w:hint="eastAsia"/>
          <w:sz w:val="28"/>
        </w:rPr>
        <w:t>论文完成日期：202</w:t>
      </w:r>
      <w:r>
        <w:rPr>
          <w:rFonts w:hint="eastAsia"/>
          <w:sz w:val="28"/>
          <w:lang w:val="en-US" w:eastAsia="zh-CN"/>
        </w:rPr>
        <w:t>2</w:t>
      </w:r>
      <w:r>
        <w:rPr>
          <w:rFonts w:hint="eastAsia"/>
          <w:sz w:val="28"/>
        </w:rPr>
        <w:t>年</w:t>
      </w:r>
      <w:r>
        <w:rPr>
          <w:rFonts w:hint="eastAsia" w:ascii="宋体" w:hAnsi="宋体"/>
          <w:sz w:val="28"/>
        </w:rPr>
        <w:t xml:space="preserve">  </w:t>
      </w:r>
      <w:r>
        <w:rPr>
          <w:rFonts w:hint="eastAsia"/>
          <w:sz w:val="28"/>
        </w:rPr>
        <w:t>月</w:t>
      </w:r>
    </w:p>
    <w:p>
      <w:pPr>
        <w:tabs>
          <w:tab w:val="left" w:pos="1305"/>
        </w:tabs>
        <w:jc w:val="center"/>
        <w:rPr>
          <w:rFonts w:eastAsia="黑体"/>
          <w:b/>
          <w:sz w:val="36"/>
          <w:szCs w:val="30"/>
        </w:rPr>
      </w:pPr>
      <w:r>
        <w:rPr>
          <w:rFonts w:hint="eastAsia" w:eastAsia="黑体"/>
          <w:b/>
          <w:sz w:val="36"/>
          <w:szCs w:val="30"/>
        </w:rPr>
        <w:t>论文原创性声明</w:t>
      </w:r>
    </w:p>
    <w:p>
      <w:pPr>
        <w:spacing w:line="300" w:lineRule="auto"/>
        <w:ind w:firstLine="723"/>
        <w:jc w:val="center"/>
        <w:rPr>
          <w:rFonts w:eastAsia="黑体"/>
          <w:b/>
          <w:sz w:val="36"/>
          <w:szCs w:val="30"/>
        </w:rPr>
      </w:pPr>
      <w:bookmarkStart w:id="1" w:name="_GoBack"/>
      <w:bookmarkEnd w:id="1"/>
    </w:p>
    <w:p>
      <w:pPr>
        <w:pStyle w:val="2"/>
        <w:spacing w:line="480" w:lineRule="auto"/>
        <w:ind w:left="0" w:leftChars="0" w:firstLine="560" w:firstLineChars="200"/>
        <w:rPr>
          <w:sz w:val="28"/>
          <w:szCs w:val="28"/>
        </w:rPr>
      </w:pPr>
      <w:r>
        <w:rPr>
          <w:rFonts w:hint="eastAsia"/>
          <w:sz w:val="28"/>
          <w:szCs w:val="28"/>
        </w:rPr>
        <w:t>本人郑重声明：所呈交的论文，是本人在导师指导下，进行研究工作所取得的成果。除文中已经注明引用的内容外，本论文的研究成果不包含任何他人创作的、已公开发表或者没有公开发表的作品的内容。对本论文所涉及的研究工作做出贡献的其他个人和集体，均已在文中以明确方式标明。本论文原创性声明的法律责任由本人承担。</w:t>
      </w:r>
    </w:p>
    <w:p>
      <w:pPr>
        <w:ind w:firstLine="3360" w:firstLineChars="1200"/>
        <w:rPr>
          <w:rFonts w:ascii="宋体" w:hAnsi="宋体" w:cs="宋体"/>
          <w:sz w:val="28"/>
          <w:szCs w:val="28"/>
        </w:rPr>
      </w:pPr>
      <w:r>
        <w:rPr>
          <w:rFonts w:hint="eastAsia"/>
          <w:sz w:val="28"/>
          <w:szCs w:val="28"/>
        </w:rPr>
        <w:t>作者签名：</w:t>
      </w:r>
      <w:r>
        <w:rPr>
          <w:rFonts w:hint="eastAsia" w:ascii="宋体" w:hAnsi="宋体"/>
          <w:sz w:val="28"/>
        </w:rPr>
        <w:t>××××</w:t>
      </w:r>
      <w:r>
        <w:rPr>
          <w:rFonts w:hint="eastAsia" w:ascii="楷体_GB2312" w:eastAsia="楷体_GB2312"/>
          <w:b/>
          <w:color w:val="FF0000"/>
          <w:sz w:val="28"/>
          <w:szCs w:val="28"/>
        </w:rPr>
        <w:t>（打印本页，手工签）</w:t>
      </w:r>
    </w:p>
    <w:p>
      <w:pPr>
        <w:pStyle w:val="2"/>
        <w:spacing w:line="480" w:lineRule="auto"/>
        <w:ind w:left="0" w:leftChars="0"/>
        <w:jc w:val="center"/>
        <w:rPr>
          <w:sz w:val="28"/>
          <w:szCs w:val="28"/>
        </w:rPr>
      </w:pPr>
      <w:r>
        <w:rPr>
          <w:rFonts w:hint="eastAsia"/>
          <w:sz w:val="28"/>
          <w:szCs w:val="28"/>
        </w:rPr>
        <w:t xml:space="preserve">                日期：</w:t>
      </w:r>
      <w:r>
        <w:rPr>
          <w:rFonts w:hint="eastAsia" w:ascii="宋体" w:hAnsi="宋体"/>
          <w:sz w:val="28"/>
        </w:rPr>
        <w:t>××××</w:t>
      </w:r>
      <w:r>
        <w:rPr>
          <w:rFonts w:hint="eastAsia"/>
          <w:sz w:val="28"/>
          <w:szCs w:val="28"/>
        </w:rPr>
        <w:t>年</w:t>
      </w:r>
      <w:r>
        <w:rPr>
          <w:rFonts w:hint="eastAsia" w:ascii="宋体" w:hAnsi="宋体"/>
          <w:sz w:val="28"/>
        </w:rPr>
        <w:t>××</w:t>
      </w:r>
      <w:r>
        <w:rPr>
          <w:rFonts w:hint="eastAsia"/>
          <w:sz w:val="28"/>
          <w:szCs w:val="28"/>
        </w:rPr>
        <w:t>月</w:t>
      </w:r>
      <w:r>
        <w:rPr>
          <w:sz w:val="28"/>
          <w:szCs w:val="28"/>
        </w:rPr>
        <w:t xml:space="preserve"> </w:t>
      </w:r>
      <w:r>
        <w:rPr>
          <w:rFonts w:hint="eastAsia" w:ascii="宋体" w:hAnsi="宋体"/>
          <w:sz w:val="28"/>
        </w:rPr>
        <w:t>××</w:t>
      </w:r>
      <w:r>
        <w:rPr>
          <w:rFonts w:hint="eastAsia"/>
          <w:sz w:val="28"/>
          <w:szCs w:val="28"/>
        </w:rPr>
        <w:t>日</w:t>
      </w:r>
    </w:p>
    <w:p>
      <w:pPr>
        <w:pStyle w:val="2"/>
        <w:spacing w:line="480" w:lineRule="auto"/>
        <w:ind w:left="0" w:leftChars="0"/>
        <w:jc w:val="center"/>
        <w:rPr>
          <w:sz w:val="28"/>
          <w:szCs w:val="28"/>
        </w:rPr>
      </w:pPr>
    </w:p>
    <w:p>
      <w:pPr>
        <w:spacing w:line="300" w:lineRule="auto"/>
        <w:jc w:val="center"/>
        <w:rPr>
          <w:rFonts w:eastAsia="黑体"/>
          <w:b/>
          <w:sz w:val="36"/>
          <w:szCs w:val="30"/>
        </w:rPr>
      </w:pPr>
      <w:r>
        <w:rPr>
          <w:rFonts w:hint="eastAsia" w:eastAsia="黑体"/>
          <w:b/>
          <w:sz w:val="36"/>
          <w:szCs w:val="30"/>
        </w:rPr>
        <w:t>论文版权使用授权声明</w:t>
      </w:r>
    </w:p>
    <w:p>
      <w:pPr>
        <w:spacing w:line="300" w:lineRule="auto"/>
        <w:ind w:firstLine="723"/>
        <w:jc w:val="center"/>
        <w:rPr>
          <w:rFonts w:eastAsia="黑体"/>
          <w:b/>
          <w:sz w:val="36"/>
          <w:szCs w:val="30"/>
        </w:rPr>
      </w:pPr>
    </w:p>
    <w:p>
      <w:pPr>
        <w:pStyle w:val="2"/>
        <w:spacing w:line="480" w:lineRule="auto"/>
        <w:ind w:left="0" w:leftChars="0" w:firstLine="560" w:firstLineChars="200"/>
        <w:rPr>
          <w:rFonts w:ascii="仿宋" w:hAnsi="仿宋" w:eastAsia="仿宋"/>
          <w:sz w:val="28"/>
          <w:szCs w:val="28"/>
        </w:rPr>
      </w:pPr>
      <w:r>
        <w:rPr>
          <w:rFonts w:hint="eastAsia"/>
          <w:sz w:val="28"/>
          <w:szCs w:val="28"/>
        </w:rPr>
        <w:t>本人完全了解国家开放大学关于收集、保存、使用论文的规定，同意如下各项内容：按照学校要求提交论文的印刷本和电子版本；学校有权保存论文的印刷本和电子版，并采用影印、缩印、扫描、数字化或其它手段保存论文；学校有权提供目录检索以及提供本论文全文或者部分的阅览服务，以及出版论文；学校有权按有关规定向国家有关部门或者机构送交论文的复印件和电子版；在不以赢利为目的的前提下，学校可以适当复制论文的部分或全部内容用于学术活动。</w:t>
      </w:r>
    </w:p>
    <w:p>
      <w:pPr>
        <w:ind w:firstLine="1120" w:firstLineChars="400"/>
        <w:jc w:val="right"/>
        <w:rPr>
          <w:rFonts w:ascii="楷体_GB2312" w:eastAsia="楷体_GB2312"/>
          <w:b/>
          <w:color w:val="FF0000"/>
          <w:sz w:val="28"/>
          <w:szCs w:val="28"/>
        </w:rPr>
      </w:pPr>
      <w:r>
        <w:rPr>
          <w:rFonts w:hint="eastAsia"/>
          <w:sz w:val="28"/>
          <w:szCs w:val="28"/>
        </w:rPr>
        <w:t>作者签名：</w:t>
      </w:r>
      <w:r>
        <w:rPr>
          <w:rFonts w:hint="eastAsia" w:ascii="宋体" w:hAnsi="宋体"/>
          <w:sz w:val="28"/>
        </w:rPr>
        <w:t>××××</w:t>
      </w:r>
      <w:r>
        <w:rPr>
          <w:rFonts w:hint="eastAsia" w:ascii="楷体_GB2312" w:eastAsia="楷体_GB2312"/>
          <w:b/>
          <w:color w:val="FF0000"/>
          <w:sz w:val="28"/>
          <w:szCs w:val="28"/>
        </w:rPr>
        <w:t>（打印本页，手工签）</w:t>
      </w:r>
    </w:p>
    <w:p>
      <w:pPr>
        <w:tabs>
          <w:tab w:val="left" w:pos="4695"/>
        </w:tabs>
        <w:ind w:firstLine="3080" w:firstLineChars="1100"/>
        <w:rPr>
          <w:rFonts w:ascii="仿宋" w:hAnsi="仿宋" w:eastAsia="仿宋"/>
          <w:sz w:val="30"/>
          <w:szCs w:val="30"/>
        </w:rPr>
        <w:sectPr>
          <w:footerReference r:id="rId9" w:type="first"/>
          <w:footerReference r:id="rId8" w:type="default"/>
          <w:pgSz w:w="11906" w:h="16838"/>
          <w:pgMar w:top="1474" w:right="1701" w:bottom="1474" w:left="1701" w:header="1021" w:footer="1021" w:gutter="0"/>
          <w:pgNumType w:start="1"/>
          <w:cols w:space="720" w:num="1"/>
          <w:titlePg/>
          <w:docGrid w:type="lines" w:linePitch="312" w:charSpace="0"/>
        </w:sectPr>
      </w:pPr>
      <w:r>
        <w:rPr>
          <w:rFonts w:hint="eastAsia"/>
          <w:sz w:val="28"/>
          <w:szCs w:val="28"/>
        </w:rPr>
        <w:t>日期：</w:t>
      </w:r>
      <w:r>
        <w:rPr>
          <w:rFonts w:hint="eastAsia" w:ascii="宋体" w:hAnsi="宋体"/>
          <w:sz w:val="28"/>
        </w:rPr>
        <w:t>××××</w:t>
      </w:r>
      <w:r>
        <w:rPr>
          <w:rFonts w:hint="eastAsia"/>
          <w:sz w:val="28"/>
          <w:szCs w:val="28"/>
        </w:rPr>
        <w:t>年</w:t>
      </w:r>
      <w:r>
        <w:rPr>
          <w:rFonts w:hint="eastAsia" w:ascii="宋体" w:hAnsi="宋体"/>
          <w:sz w:val="28"/>
        </w:rPr>
        <w:t>××</w:t>
      </w:r>
      <w:r>
        <w:rPr>
          <w:rFonts w:hint="eastAsia"/>
          <w:sz w:val="28"/>
          <w:szCs w:val="28"/>
        </w:rPr>
        <w:t>月</w:t>
      </w:r>
      <w:r>
        <w:rPr>
          <w:rFonts w:hint="eastAsia" w:ascii="宋体" w:hAnsi="宋体"/>
          <w:sz w:val="28"/>
        </w:rPr>
        <w:t>××</w:t>
      </w:r>
      <w:r>
        <w:rPr>
          <w:rFonts w:hint="eastAsia"/>
          <w:sz w:val="28"/>
          <w:szCs w:val="28"/>
        </w:rPr>
        <w:t>日</w:t>
      </w:r>
    </w:p>
    <w:p>
      <w:pPr>
        <w:pStyle w:val="6"/>
        <w:tabs>
          <w:tab w:val="right" w:leader="dot" w:pos="8306"/>
        </w:tabs>
        <w:spacing w:before="480" w:after="480"/>
        <w:jc w:val="center"/>
        <w:rPr>
          <w:rFonts w:ascii="黑体" w:hAnsi="黑体" w:eastAsia="黑体" w:cs="黑体"/>
          <w:b/>
          <w:bCs/>
          <w:sz w:val="36"/>
          <w:szCs w:val="36"/>
        </w:rPr>
      </w:pPr>
      <w:r>
        <w:rPr>
          <w:rFonts w:hint="eastAsia" w:ascii="黑体" w:hAnsi="黑体" w:eastAsia="黑体" w:cs="黑体"/>
          <w:sz w:val="28"/>
          <w:szCs w:val="28"/>
        </w:rPr>
        <mc:AlternateContent>
          <mc:Choice Requires="wps">
            <w:drawing>
              <wp:anchor distT="0" distB="0" distL="114300" distR="114300" simplePos="0" relativeHeight="251660288" behindDoc="0" locked="0" layoutInCell="1" allowOverlap="1">
                <wp:simplePos x="0" y="0"/>
                <wp:positionH relativeFrom="column">
                  <wp:posOffset>3672840</wp:posOffset>
                </wp:positionH>
                <wp:positionV relativeFrom="paragraph">
                  <wp:posOffset>-447675</wp:posOffset>
                </wp:positionV>
                <wp:extent cx="1828800" cy="891540"/>
                <wp:effectExtent l="666750" t="0" r="19050" b="22860"/>
                <wp:wrapNone/>
                <wp:docPr id="7" name="圆角矩形标注 7"/>
                <wp:cNvGraphicFramePr/>
                <a:graphic xmlns:a="http://schemas.openxmlformats.org/drawingml/2006/main">
                  <a:graphicData uri="http://schemas.microsoft.com/office/word/2010/wordprocessingShape">
                    <wps:wsp>
                      <wps:cNvSpPr>
                        <a:spLocks noChangeArrowheads="1"/>
                      </wps:cNvSpPr>
                      <wps:spPr bwMode="auto">
                        <a:xfrm>
                          <a:off x="0" y="0"/>
                          <a:ext cx="1828800" cy="891540"/>
                        </a:xfrm>
                        <a:prstGeom prst="wedgeRoundRectCallout">
                          <a:avLst>
                            <a:gd name="adj1" fmla="val -83611"/>
                            <a:gd name="adj2" fmla="val 42593"/>
                            <a:gd name="adj3" fmla="val 16667"/>
                          </a:avLst>
                        </a:prstGeom>
                        <a:noFill/>
                        <a:ln w="13970" cmpd="sng">
                          <a:solidFill>
                            <a:srgbClr val="000000"/>
                          </a:solidFill>
                          <a:miter lim="800000"/>
                        </a:ln>
                        <a:effectLst/>
                      </wps:spPr>
                      <wps:txbx>
                        <w:txbxContent>
                          <w:p>
                            <w:pPr>
                              <w:rPr>
                                <w:szCs w:val="48"/>
                              </w:rPr>
                            </w:pPr>
                            <w:r>
                              <w:rPr>
                                <w:rFonts w:hint="eastAsia" w:ascii="楷体_GB2312" w:eastAsia="楷体_GB2312"/>
                                <w:b/>
                                <w:color w:val="FF0000"/>
                                <w:sz w:val="24"/>
                              </w:rPr>
                              <w:t>居中，字体为小二号黑体加粗，两字间空2格，行距为</w:t>
                            </w:r>
                            <w:r>
                              <w:rPr>
                                <w:rFonts w:hint="eastAsia" w:ascii="楷体_GB2312" w:eastAsia="楷体_GB2312"/>
                                <w:b/>
                                <w:bCs/>
                                <w:color w:val="FF0000"/>
                                <w:sz w:val="24"/>
                              </w:rPr>
                              <w:t>单倍行距，</w:t>
                            </w:r>
                            <w:r>
                              <w:rPr>
                                <w:rFonts w:hint="eastAsia" w:ascii="楷体_GB2312" w:eastAsia="楷体_GB2312"/>
                                <w:b/>
                                <w:color w:val="FF0000"/>
                                <w:sz w:val="24"/>
                              </w:rPr>
                              <w:t>段间距为24磅</w:t>
                            </w:r>
                          </w:p>
                        </w:txbxContent>
                      </wps:txbx>
                      <wps:bodyPr rot="0" vert="horz" wrap="square" lIns="7200" tIns="3600" rIns="7200" bIns="10800" anchor="ctr" anchorCtr="0" upright="1">
                        <a:noAutofit/>
                      </wps:bodyPr>
                    </wps:wsp>
                  </a:graphicData>
                </a:graphic>
              </wp:anchor>
            </w:drawing>
          </mc:Choice>
          <mc:Fallback>
            <w:pict>
              <v:shape id="_x0000_s1026" o:spid="_x0000_s1026" o:spt="62" type="#_x0000_t62" style="position:absolute;left:0pt;margin-left:289.2pt;margin-top:-35.25pt;height:70.2pt;width:144pt;z-index:251660288;v-text-anchor:middle;mso-width-relative:page;mso-height-relative:page;" filled="f" stroked="t" coordsize="21600,21600" o:gfxdata="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" adj="-7260,20000,14400">
                <v:fill on="f" focussize="0,0"/>
                <v:stroke weight="1.1pt" color="#000000" miterlimit="8" joinstyle="miter"/>
                <v:imagedata o:title=""/>
                <o:lock v:ext="edit" aspectratio="f"/>
                <v:textbox inset="0.2mm,0.1mm,0.2mm,0.3mm">
                  <w:txbxContent>
                    <w:p>
                      <w:pPr>
                        <w:rPr>
                          <w:szCs w:val="48"/>
                        </w:rPr>
                      </w:pPr>
                      <w:r>
                        <w:rPr>
                          <w:rFonts w:hint="eastAsia" w:ascii="楷体_GB2312" w:eastAsia="楷体_GB2312"/>
                          <w:b/>
                          <w:color w:val="FF0000"/>
                          <w:sz w:val="24"/>
                        </w:rPr>
                        <w:t>居中，字体为小二号黑体加粗，两字间空2格，行距为</w:t>
                      </w:r>
                      <w:r>
                        <w:rPr>
                          <w:rFonts w:hint="eastAsia" w:ascii="楷体_GB2312" w:eastAsia="楷体_GB2312"/>
                          <w:b/>
                          <w:bCs/>
                          <w:color w:val="FF0000"/>
                          <w:sz w:val="24"/>
                        </w:rPr>
                        <w:t>单倍行距，</w:t>
                      </w:r>
                      <w:r>
                        <w:rPr>
                          <w:rFonts w:hint="eastAsia" w:ascii="楷体_GB2312" w:eastAsia="楷体_GB2312"/>
                          <w:b/>
                          <w:color w:val="FF0000"/>
                          <w:sz w:val="24"/>
                        </w:rPr>
                        <w:t>段间距为24磅</w:t>
                      </w:r>
                    </w:p>
                  </w:txbxContent>
                </v:textbox>
              </v:shape>
            </w:pict>
          </mc:Fallback>
        </mc:AlternateContent>
      </w:r>
      <w:r>
        <w:rPr>
          <w:rFonts w:hint="eastAsia" w:ascii="黑体" w:hAnsi="黑体" w:eastAsia="黑体" w:cs="黑体"/>
          <w:b/>
          <w:bCs/>
          <w:sz w:val="36"/>
          <w:szCs w:val="36"/>
        </w:rPr>
        <w:t>目  录</w:t>
      </w:r>
    </w:p>
    <w:p>
      <w:pPr>
        <w:spacing w:line="360" w:lineRule="auto"/>
      </w:pPr>
    </w:p>
    <w:p>
      <w:pPr>
        <w:adjustRightInd w:val="0"/>
        <w:snapToGrid w:val="0"/>
        <w:spacing w:line="360" w:lineRule="auto"/>
        <w:rPr>
          <w:rFonts w:ascii="黑体" w:hAnsi="黑体" w:eastAsia="黑体"/>
          <w:sz w:val="24"/>
        </w:rPr>
      </w:pPr>
      <w:r>
        <w:rPr>
          <w:rFonts w:hint="eastAsia" w:ascii="黑体" w:eastAsia="黑体"/>
          <w:sz w:val="24"/>
        </w:rPr>
        <w:t>摘要</w:t>
      </w:r>
      <w:r>
        <w:rPr>
          <w:rFonts w:hint="eastAsia" w:ascii="楷体_GB2312" w:eastAsia="楷体_GB2312"/>
          <w:b/>
          <w:color w:val="FF0000"/>
          <w:sz w:val="24"/>
        </w:rPr>
        <w:t>（两端对齐，字体为小四号黑体）</w:t>
      </w:r>
      <w:r>
        <w:rPr>
          <w:rFonts w:ascii="黑体" w:hAnsi="黑体" w:eastAsia="黑体"/>
          <w:sz w:val="24"/>
          <w:szCs w:val="24"/>
        </w:rPr>
        <w:t>……………………………………………</w:t>
      </w:r>
      <w:r>
        <w:rPr>
          <w:rFonts w:ascii="黑体" w:hAnsi="黑体" w:eastAsia="黑体"/>
          <w:sz w:val="24"/>
        </w:rPr>
        <w:t>1</w:t>
      </w:r>
    </w:p>
    <w:p>
      <w:pPr>
        <w:adjustRightInd w:val="0"/>
        <w:snapToGrid w:val="0"/>
        <w:spacing w:line="360" w:lineRule="auto"/>
        <w:rPr>
          <w:rFonts w:ascii="黑体" w:hAnsi="黑体" w:eastAsia="黑体"/>
          <w:sz w:val="24"/>
          <w:szCs w:val="24"/>
        </w:rPr>
      </w:pPr>
      <w:r>
        <w:rPr>
          <w:rFonts w:hint="eastAsia" w:ascii="黑体" w:hAnsi="黑体" w:eastAsia="黑体"/>
          <w:sz w:val="24"/>
          <w:szCs w:val="24"/>
        </w:rPr>
        <w:t>一、冠豪高新物流管理概况</w:t>
      </w:r>
      <w:r>
        <w:rPr>
          <w:rFonts w:hint="eastAsia" w:ascii="楷体_GB2312" w:eastAsia="楷体_GB2312"/>
          <w:b/>
          <w:color w:val="FF0000"/>
          <w:sz w:val="24"/>
        </w:rPr>
        <w:t>（两端对齐，字体为小四号黑体）</w:t>
      </w:r>
      <w:r>
        <w:rPr>
          <w:rFonts w:ascii="黑体" w:hAnsi="黑体" w:eastAsia="黑体"/>
          <w:sz w:val="24"/>
          <w:szCs w:val="24"/>
        </w:rPr>
        <w:t>……………………2</w:t>
      </w:r>
    </w:p>
    <w:p>
      <w:pPr>
        <w:adjustRightInd w:val="0"/>
        <w:snapToGrid w:val="0"/>
        <w:spacing w:line="360" w:lineRule="auto"/>
        <w:rPr>
          <w:rFonts w:ascii="黑体" w:hAnsi="黑体" w:eastAsia="黑体"/>
          <w:sz w:val="24"/>
          <w:szCs w:val="24"/>
        </w:rPr>
      </w:pPr>
      <w:r>
        <w:rPr>
          <w:rFonts w:hint="eastAsia" w:ascii="黑体" w:hAnsi="黑体" w:eastAsia="黑体"/>
          <w:sz w:val="24"/>
          <w:szCs w:val="24"/>
        </w:rPr>
        <w:t>二、冠豪高新物流管理存在的问题</w:t>
      </w:r>
      <w:r>
        <w:rPr>
          <w:rFonts w:ascii="黑体" w:hAnsi="黑体" w:eastAsia="黑体"/>
          <w:sz w:val="24"/>
          <w:szCs w:val="24"/>
        </w:rPr>
        <w:t>……</w:t>
      </w:r>
      <w:r>
        <w:rPr>
          <w:rFonts w:hint="eastAsia" w:ascii="黑体" w:hAnsi="黑体" w:eastAsia="黑体"/>
          <w:sz w:val="24"/>
          <w:szCs w:val="24"/>
        </w:rPr>
        <w:t>……………………………………………</w:t>
      </w:r>
      <w:r>
        <w:rPr>
          <w:rFonts w:ascii="黑体" w:hAnsi="黑体" w:eastAsia="黑体"/>
          <w:sz w:val="24"/>
          <w:szCs w:val="24"/>
        </w:rPr>
        <w:t>2</w:t>
      </w:r>
    </w:p>
    <w:p>
      <w:pPr>
        <w:adjustRightInd w:val="0"/>
        <w:snapToGrid w:val="0"/>
        <w:spacing w:line="360" w:lineRule="auto"/>
        <w:ind w:firstLine="480" w:firstLineChars="200"/>
        <w:rPr>
          <w:sz w:val="24"/>
          <w:szCs w:val="24"/>
        </w:rPr>
      </w:pPr>
      <w:r>
        <w:rPr>
          <w:rFonts w:hint="eastAsia"/>
          <w:sz w:val="24"/>
          <w:szCs w:val="24"/>
        </w:rPr>
        <w:t>（一）管理和服务水平低下</w:t>
      </w:r>
      <w:r>
        <w:rPr>
          <w:rFonts w:hint="eastAsia" w:ascii="楷体_GB2312" w:hAnsi="宋体" w:eastAsia="楷体_GB2312"/>
          <w:b/>
          <w:color w:val="FF0000"/>
          <w:sz w:val="24"/>
        </w:rPr>
        <w:t>（</w:t>
      </w:r>
      <w:r>
        <w:rPr>
          <w:rFonts w:hint="eastAsia" w:ascii="楷体_GB2312" w:eastAsia="楷体_GB2312"/>
          <w:b/>
          <w:color w:val="FF0000"/>
          <w:sz w:val="24"/>
        </w:rPr>
        <w:t>缩进2字符</w:t>
      </w:r>
      <w:r>
        <w:rPr>
          <w:rFonts w:hint="eastAsia" w:ascii="楷体_GB2312" w:hAnsi="宋体" w:eastAsia="楷体_GB2312"/>
          <w:b/>
          <w:color w:val="FF0000"/>
          <w:sz w:val="24"/>
        </w:rPr>
        <w:t>，字体为小四号宋体</w:t>
      </w:r>
      <w:r>
        <w:rPr>
          <w:rFonts w:ascii="楷体_GB2312" w:hAnsi="宋体" w:eastAsia="楷体_GB2312"/>
          <w:b/>
          <w:color w:val="FF0000"/>
          <w:sz w:val="24"/>
        </w:rPr>
        <w:t>）</w:t>
      </w:r>
      <w:r>
        <w:rPr>
          <w:rFonts w:ascii="黑体" w:hAnsi="黑体" w:eastAsia="黑体"/>
          <w:sz w:val="24"/>
          <w:szCs w:val="24"/>
        </w:rPr>
        <w:t>…</w:t>
      </w:r>
      <w:r>
        <w:rPr>
          <w:rFonts w:hint="eastAsia" w:ascii="黑体" w:hAnsi="黑体" w:eastAsia="黑体"/>
          <w:sz w:val="24"/>
          <w:szCs w:val="24"/>
        </w:rPr>
        <w:t>…</w:t>
      </w:r>
      <w:r>
        <w:rPr>
          <w:rFonts w:ascii="黑体" w:hAnsi="黑体" w:eastAsia="黑体"/>
          <w:sz w:val="24"/>
          <w:szCs w:val="24"/>
        </w:rPr>
        <w:t>………</w:t>
      </w:r>
      <w:r>
        <w:rPr>
          <w:sz w:val="24"/>
          <w:szCs w:val="24"/>
        </w:rPr>
        <w:t>3</w:t>
      </w:r>
    </w:p>
    <w:p>
      <w:pPr>
        <w:adjustRightInd w:val="0"/>
        <w:snapToGrid w:val="0"/>
        <w:spacing w:line="360" w:lineRule="auto"/>
        <w:ind w:firstLine="480" w:firstLineChars="200"/>
        <w:rPr>
          <w:sz w:val="24"/>
          <w:szCs w:val="24"/>
        </w:rPr>
      </w:pPr>
      <w:r>
        <w:rPr>
          <w:rFonts w:hint="eastAsia"/>
          <w:sz w:val="24"/>
          <w:szCs w:val="24"/>
        </w:rPr>
        <w:t>（二）信息技术应用落后</w:t>
      </w:r>
      <w:r>
        <w:rPr>
          <w:rFonts w:ascii="黑体" w:hAnsi="黑体" w:eastAsia="黑体"/>
          <w:sz w:val="24"/>
          <w:szCs w:val="24"/>
        </w:rPr>
        <w:t>………………………………………………</w:t>
      </w:r>
      <w:r>
        <w:rPr>
          <w:rFonts w:hint="eastAsia" w:ascii="黑体" w:hAnsi="黑体" w:eastAsia="黑体"/>
          <w:sz w:val="24"/>
          <w:szCs w:val="24"/>
        </w:rPr>
        <w:t>…</w:t>
      </w:r>
      <w:r>
        <w:rPr>
          <w:rFonts w:ascii="黑体" w:hAnsi="黑体" w:eastAsia="黑体"/>
          <w:sz w:val="24"/>
          <w:szCs w:val="24"/>
        </w:rPr>
        <w:t>……</w:t>
      </w:r>
      <w:r>
        <w:rPr>
          <w:sz w:val="24"/>
          <w:szCs w:val="24"/>
        </w:rPr>
        <w:t>3</w:t>
      </w:r>
    </w:p>
    <w:p>
      <w:pPr>
        <w:adjustRightInd w:val="0"/>
        <w:snapToGrid w:val="0"/>
        <w:spacing w:line="360" w:lineRule="auto"/>
        <w:ind w:firstLine="480" w:firstLineChars="200"/>
        <w:rPr>
          <w:sz w:val="24"/>
          <w:szCs w:val="24"/>
        </w:rPr>
      </w:pPr>
      <w:r>
        <w:rPr>
          <w:rFonts w:hint="eastAsia"/>
          <w:sz w:val="24"/>
          <w:szCs w:val="24"/>
        </w:rPr>
        <w:t>（三）管理人员素质不高，缺乏创新能力</w:t>
      </w:r>
      <w:r>
        <w:rPr>
          <w:rFonts w:ascii="黑体" w:hAnsi="黑体" w:eastAsia="黑体"/>
          <w:sz w:val="24"/>
          <w:szCs w:val="24"/>
        </w:rPr>
        <w:t>……………………………………</w:t>
      </w:r>
      <w:r>
        <w:rPr>
          <w:sz w:val="24"/>
          <w:szCs w:val="24"/>
        </w:rPr>
        <w:t>3</w:t>
      </w:r>
    </w:p>
    <w:p>
      <w:pPr>
        <w:adjustRightInd w:val="0"/>
        <w:snapToGrid w:val="0"/>
        <w:spacing w:line="360" w:lineRule="auto"/>
        <w:rPr>
          <w:rFonts w:ascii="黑体" w:hAnsi="黑体" w:eastAsia="黑体"/>
          <w:sz w:val="24"/>
          <w:szCs w:val="24"/>
        </w:rPr>
      </w:pPr>
      <w:r>
        <w:rPr>
          <w:rFonts w:hint="eastAsia" w:ascii="黑体" w:hAnsi="黑体" w:eastAsia="黑体"/>
          <w:sz w:val="24"/>
          <w:szCs w:val="24"/>
        </w:rPr>
        <w:t>三、冠豪高新物流管理中存在问题的原因分析</w:t>
      </w:r>
      <w:r>
        <w:rPr>
          <w:rFonts w:ascii="黑体" w:hAnsi="黑体" w:eastAsia="黑体"/>
          <w:sz w:val="24"/>
          <w:szCs w:val="24"/>
        </w:rPr>
        <w:t>………</w:t>
      </w:r>
      <w:r>
        <w:rPr>
          <w:rFonts w:hint="eastAsia" w:ascii="黑体" w:hAnsi="黑体" w:eastAsia="黑体"/>
          <w:sz w:val="24"/>
          <w:szCs w:val="24"/>
        </w:rPr>
        <w:t>………</w:t>
      </w:r>
      <w:r>
        <w:rPr>
          <w:rFonts w:ascii="黑体" w:hAnsi="黑体" w:eastAsia="黑体"/>
          <w:sz w:val="24"/>
          <w:szCs w:val="24"/>
        </w:rPr>
        <w:t>……</w:t>
      </w:r>
      <w:r>
        <w:rPr>
          <w:rFonts w:hint="eastAsia" w:ascii="黑体" w:hAnsi="黑体" w:eastAsia="黑体"/>
          <w:sz w:val="24"/>
          <w:szCs w:val="24"/>
        </w:rPr>
        <w:t>………………</w:t>
      </w:r>
      <w:r>
        <w:rPr>
          <w:rFonts w:ascii="黑体" w:hAnsi="黑体" w:eastAsia="黑体"/>
          <w:sz w:val="24"/>
          <w:szCs w:val="24"/>
        </w:rPr>
        <w:t>3</w:t>
      </w:r>
    </w:p>
    <w:p>
      <w:pPr>
        <w:adjustRightInd w:val="0"/>
        <w:snapToGrid w:val="0"/>
        <w:spacing w:line="360" w:lineRule="auto"/>
        <w:ind w:firstLine="480" w:firstLineChars="200"/>
        <w:rPr>
          <w:sz w:val="24"/>
          <w:szCs w:val="24"/>
        </w:rPr>
      </w:pPr>
      <w:r>
        <w:rPr>
          <w:rFonts w:hint="eastAsia"/>
          <w:sz w:val="24"/>
          <w:szCs w:val="24"/>
        </w:rPr>
        <w:t>（一）对现代企业物流管理认识不足</w:t>
      </w:r>
      <w:r>
        <w:rPr>
          <w:rFonts w:ascii="黑体" w:hAnsi="黑体" w:eastAsia="黑体"/>
          <w:sz w:val="24"/>
          <w:szCs w:val="24"/>
        </w:rPr>
        <w:t>…………………………………</w:t>
      </w:r>
      <w:r>
        <w:rPr>
          <w:rFonts w:hint="eastAsia" w:ascii="黑体" w:hAnsi="黑体" w:eastAsia="黑体"/>
          <w:sz w:val="24"/>
          <w:szCs w:val="24"/>
        </w:rPr>
        <w:t>…</w:t>
      </w:r>
      <w:r>
        <w:rPr>
          <w:rFonts w:ascii="黑体" w:hAnsi="黑体" w:eastAsia="黑体"/>
          <w:sz w:val="24"/>
          <w:szCs w:val="24"/>
        </w:rPr>
        <w:t>……</w:t>
      </w:r>
      <w:r>
        <w:rPr>
          <w:sz w:val="24"/>
          <w:szCs w:val="24"/>
        </w:rPr>
        <w:t>3</w:t>
      </w:r>
    </w:p>
    <w:p>
      <w:pPr>
        <w:adjustRightInd w:val="0"/>
        <w:snapToGrid w:val="0"/>
        <w:spacing w:line="360" w:lineRule="auto"/>
        <w:ind w:firstLine="480" w:firstLineChars="200"/>
        <w:rPr>
          <w:sz w:val="24"/>
          <w:szCs w:val="24"/>
        </w:rPr>
      </w:pPr>
      <w:r>
        <w:rPr>
          <w:rFonts w:hint="eastAsia"/>
          <w:sz w:val="24"/>
          <w:szCs w:val="24"/>
        </w:rPr>
        <w:t>（二）应用信息技术能力缺乏</w:t>
      </w:r>
      <w:r>
        <w:rPr>
          <w:rFonts w:ascii="黑体" w:hAnsi="黑体" w:eastAsia="黑体"/>
          <w:sz w:val="24"/>
          <w:szCs w:val="24"/>
        </w:rPr>
        <w:t>…………………………………………………</w:t>
      </w:r>
      <w:r>
        <w:rPr>
          <w:sz w:val="24"/>
          <w:szCs w:val="24"/>
        </w:rPr>
        <w:t>5</w:t>
      </w:r>
    </w:p>
    <w:p>
      <w:pPr>
        <w:adjustRightInd w:val="0"/>
        <w:snapToGrid w:val="0"/>
        <w:spacing w:line="360" w:lineRule="auto"/>
        <w:ind w:firstLine="480" w:firstLineChars="200"/>
        <w:rPr>
          <w:sz w:val="24"/>
          <w:szCs w:val="24"/>
        </w:rPr>
      </w:pPr>
      <w:r>
        <w:rPr>
          <w:rFonts w:hint="eastAsia"/>
          <w:sz w:val="24"/>
          <w:szCs w:val="24"/>
        </w:rPr>
        <w:t>（三）人员管理制度和培养机制不完善</w:t>
      </w:r>
      <w:r>
        <w:rPr>
          <w:rFonts w:ascii="黑体" w:hAnsi="黑体" w:eastAsia="黑体"/>
          <w:sz w:val="24"/>
          <w:szCs w:val="24"/>
        </w:rPr>
        <w:t>………………………………………</w:t>
      </w:r>
      <w:r>
        <w:rPr>
          <w:sz w:val="24"/>
          <w:szCs w:val="24"/>
        </w:rPr>
        <w:t>5</w:t>
      </w:r>
    </w:p>
    <w:p>
      <w:pPr>
        <w:adjustRightInd w:val="0"/>
        <w:snapToGrid w:val="0"/>
        <w:spacing w:line="360" w:lineRule="auto"/>
        <w:rPr>
          <w:rFonts w:ascii="黑体" w:hAnsi="黑体" w:eastAsia="黑体"/>
          <w:sz w:val="24"/>
          <w:szCs w:val="24"/>
        </w:rPr>
      </w:pPr>
      <w:r>
        <w:rPr>
          <w:rFonts w:hint="eastAsia" w:ascii="黑体" w:hAnsi="黑体" w:eastAsia="黑体"/>
          <w:sz w:val="24"/>
          <w:szCs w:val="24"/>
        </w:rPr>
        <w:t>四、冠豪高新物流管理存在问题的改善对策</w:t>
      </w:r>
      <w:r>
        <w:rPr>
          <w:rFonts w:ascii="黑体" w:hAnsi="黑体" w:eastAsia="黑体"/>
          <w:sz w:val="24"/>
          <w:szCs w:val="24"/>
        </w:rPr>
        <w:t>………</w:t>
      </w:r>
      <w:r>
        <w:rPr>
          <w:rFonts w:hint="eastAsia" w:ascii="黑体" w:hAnsi="黑体" w:eastAsia="黑体"/>
          <w:sz w:val="24"/>
          <w:szCs w:val="24"/>
        </w:rPr>
        <w:t>………</w:t>
      </w:r>
      <w:r>
        <w:rPr>
          <w:rFonts w:ascii="黑体" w:hAnsi="黑体" w:eastAsia="黑体"/>
          <w:sz w:val="24"/>
          <w:szCs w:val="24"/>
        </w:rPr>
        <w:t>…</w:t>
      </w:r>
      <w:r>
        <w:rPr>
          <w:rFonts w:hint="eastAsia" w:ascii="黑体" w:hAnsi="黑体" w:eastAsia="黑体"/>
          <w:sz w:val="24"/>
          <w:szCs w:val="24"/>
        </w:rPr>
        <w:t>……………………</w:t>
      </w:r>
      <w:r>
        <w:rPr>
          <w:rFonts w:ascii="黑体" w:hAnsi="黑体" w:eastAsia="黑体"/>
          <w:sz w:val="24"/>
          <w:szCs w:val="24"/>
        </w:rPr>
        <w:t>6</w:t>
      </w:r>
    </w:p>
    <w:p>
      <w:pPr>
        <w:adjustRightInd w:val="0"/>
        <w:snapToGrid w:val="0"/>
        <w:spacing w:line="360" w:lineRule="auto"/>
        <w:ind w:firstLine="480" w:firstLineChars="200"/>
        <w:rPr>
          <w:sz w:val="24"/>
          <w:szCs w:val="24"/>
        </w:rPr>
      </w:pPr>
      <w:r>
        <w:rPr>
          <w:rFonts w:hint="eastAsia"/>
          <w:sz w:val="24"/>
          <w:szCs w:val="24"/>
        </w:rPr>
        <w:t>（一）转变经营管理理念，建立现代化的物流管理制度</w:t>
      </w:r>
      <w:r>
        <w:rPr>
          <w:rFonts w:ascii="黑体" w:hAnsi="黑体" w:eastAsia="黑体"/>
          <w:sz w:val="24"/>
          <w:szCs w:val="24"/>
        </w:rPr>
        <w:t>……………………</w:t>
      </w:r>
      <w:r>
        <w:rPr>
          <w:sz w:val="24"/>
          <w:szCs w:val="24"/>
        </w:rPr>
        <w:t>6</w:t>
      </w:r>
    </w:p>
    <w:p>
      <w:pPr>
        <w:adjustRightInd w:val="0"/>
        <w:snapToGrid w:val="0"/>
        <w:spacing w:line="360" w:lineRule="auto"/>
        <w:ind w:firstLine="480" w:firstLineChars="200"/>
        <w:rPr>
          <w:sz w:val="24"/>
          <w:szCs w:val="24"/>
        </w:rPr>
      </w:pPr>
      <w:r>
        <w:rPr>
          <w:rFonts w:hint="eastAsia"/>
          <w:sz w:val="24"/>
          <w:szCs w:val="24"/>
        </w:rPr>
        <w:t>（二）加强信息化平台建设，全面提升管理水平</w:t>
      </w:r>
      <w:r>
        <w:rPr>
          <w:rFonts w:ascii="黑体" w:hAnsi="黑体" w:eastAsia="黑体"/>
          <w:sz w:val="24"/>
          <w:szCs w:val="24"/>
        </w:rPr>
        <w:t>……………………………</w:t>
      </w:r>
      <w:r>
        <w:rPr>
          <w:sz w:val="24"/>
          <w:szCs w:val="24"/>
        </w:rPr>
        <w:t>7</w:t>
      </w:r>
    </w:p>
    <w:p>
      <w:pPr>
        <w:adjustRightInd w:val="0"/>
        <w:snapToGrid w:val="0"/>
        <w:spacing w:line="360" w:lineRule="auto"/>
        <w:ind w:firstLine="480" w:firstLineChars="200"/>
        <w:rPr>
          <w:sz w:val="24"/>
          <w:szCs w:val="24"/>
        </w:rPr>
      </w:pPr>
      <w:r>
        <w:rPr>
          <w:rFonts w:hint="eastAsia"/>
          <w:sz w:val="24"/>
          <w:szCs w:val="24"/>
        </w:rPr>
        <w:t>（三）建立健全人员管理制度，以人为本提升人员综合素质</w:t>
      </w:r>
      <w:r>
        <w:rPr>
          <w:rFonts w:ascii="黑体" w:hAnsi="黑体" w:eastAsia="黑体"/>
          <w:sz w:val="24"/>
          <w:szCs w:val="24"/>
        </w:rPr>
        <w:t>………………</w:t>
      </w:r>
      <w:r>
        <w:rPr>
          <w:sz w:val="24"/>
          <w:szCs w:val="24"/>
        </w:rPr>
        <w:t>7</w:t>
      </w:r>
    </w:p>
    <w:p>
      <w:pPr>
        <w:adjustRightInd w:val="0"/>
        <w:snapToGrid w:val="0"/>
        <w:spacing w:line="360" w:lineRule="auto"/>
        <w:jc w:val="distribute"/>
        <w:rPr>
          <w:rFonts w:ascii="黑体" w:hAnsi="黑体" w:eastAsia="黑体"/>
          <w:sz w:val="24"/>
          <w:szCs w:val="24"/>
        </w:rPr>
      </w:pPr>
      <w:r>
        <w:rPr>
          <w:rFonts w:hint="eastAsia" w:ascii="黑体" w:hAnsi="黑体" w:eastAsia="黑体"/>
          <w:sz w:val="24"/>
          <w:szCs w:val="24"/>
        </w:rPr>
        <w:t>参考文献</w:t>
      </w:r>
      <w:r>
        <w:rPr>
          <w:rFonts w:hint="eastAsia" w:ascii="楷体_GB2312" w:eastAsia="楷体_GB2312"/>
          <w:b/>
          <w:color w:val="FF0000"/>
          <w:sz w:val="24"/>
        </w:rPr>
        <w:t>（两端对齐，字体为小四号黑体）</w:t>
      </w:r>
      <w:r>
        <w:rPr>
          <w:rFonts w:hint="eastAsia" w:ascii="黑体" w:hAnsi="黑体" w:eastAsia="黑体"/>
          <w:sz w:val="24"/>
          <w:szCs w:val="24"/>
        </w:rPr>
        <w:t>………………………………………</w:t>
      </w:r>
      <w:r>
        <w:rPr>
          <w:rFonts w:ascii="黑体" w:hAnsi="黑体" w:eastAsia="黑体"/>
          <w:sz w:val="24"/>
          <w:szCs w:val="24"/>
        </w:rPr>
        <w:t>9</w:t>
      </w:r>
    </w:p>
    <w:p>
      <w:pPr>
        <w:adjustRightInd w:val="0"/>
        <w:snapToGrid w:val="0"/>
        <w:spacing w:line="360" w:lineRule="auto"/>
      </w:pPr>
    </w:p>
    <w:p>
      <w:pPr>
        <w:adjustRightInd w:val="0"/>
        <w:snapToGrid w:val="0"/>
      </w:pPr>
    </w:p>
    <w:p>
      <w:pPr>
        <w:adjustRightInd w:val="0"/>
        <w:snapToGrid w:val="0"/>
        <w:spacing w:line="360" w:lineRule="auto"/>
        <w:jc w:val="center"/>
        <w:rPr>
          <w:rFonts w:ascii="黑体" w:hAnsi="黑体" w:eastAsia="黑体"/>
          <w:sz w:val="36"/>
          <w:szCs w:val="36"/>
        </w:rPr>
      </w:pPr>
    </w:p>
    <w:p>
      <w:pPr>
        <w:adjustRightInd w:val="0"/>
        <w:snapToGrid w:val="0"/>
        <w:spacing w:line="360" w:lineRule="auto"/>
        <w:jc w:val="center"/>
        <w:rPr>
          <w:rFonts w:ascii="黑体" w:hAnsi="黑体" w:eastAsia="黑体"/>
          <w:sz w:val="36"/>
          <w:szCs w:val="36"/>
        </w:rPr>
      </w:pPr>
    </w:p>
    <w:p>
      <w:pPr>
        <w:spacing w:line="360" w:lineRule="auto"/>
        <w:rPr>
          <w:rFonts w:ascii="黑体" w:hAnsi="黑体" w:eastAsia="黑体"/>
          <w:sz w:val="36"/>
          <w:szCs w:val="36"/>
        </w:rPr>
      </w:pPr>
    </w:p>
    <w:p>
      <w:pPr>
        <w:spacing w:line="360" w:lineRule="auto"/>
        <w:rPr>
          <w:rFonts w:ascii="黑体" w:hAnsi="黑体" w:eastAsia="黑体"/>
          <w:sz w:val="36"/>
          <w:szCs w:val="36"/>
        </w:rPr>
        <w:sectPr>
          <w:footerReference r:id="rId10" w:type="default"/>
          <w:pgSz w:w="11906" w:h="16838"/>
          <w:pgMar w:top="1440" w:right="1797" w:bottom="1440" w:left="1797" w:header="851" w:footer="992" w:gutter="0"/>
          <w:pgNumType w:start="1"/>
          <w:cols w:space="720" w:num="1"/>
          <w:docGrid w:type="lines" w:linePitch="312" w:charSpace="0"/>
        </w:sectPr>
      </w:pPr>
    </w:p>
    <w:p>
      <w:pPr>
        <w:adjustRightInd w:val="0"/>
        <w:snapToGrid w:val="0"/>
        <w:spacing w:before="480" w:after="480"/>
        <w:jc w:val="center"/>
        <w:rPr>
          <w:rFonts w:ascii="黑体" w:hAnsi="黑体" w:eastAsia="黑体"/>
          <w:b/>
          <w:bCs/>
          <w:sz w:val="36"/>
          <w:szCs w:val="36"/>
        </w:rPr>
      </w:pPr>
      <w:r>
        <w:rPr>
          <w:rFonts w:hint="eastAsia" w:ascii="黑体" w:hAnsi="黑体" w:eastAsia="黑体"/>
          <w:b/>
          <w:bCs/>
          <w:sz w:val="36"/>
          <w:szCs w:val="36"/>
        </w:rPr>
        <w:t xml:space="preserve">摘 </w:t>
      </w:r>
      <w:r>
        <w:rPr>
          <w:rFonts w:hint="eastAsia" w:ascii="宋体" w:hAnsi="宋体"/>
          <w:sz w:val="28"/>
          <w:szCs w:val="28"/>
        </w:rPr>
        <w:t xml:space="preserve"> </w:t>
      </w:r>
      <w:r>
        <w:rPr>
          <w:rFonts w:hint="eastAsia" w:ascii="黑体" w:hAnsi="黑体" w:eastAsia="黑体"/>
          <w:b/>
          <w:bCs/>
          <w:sz w:val="36"/>
          <w:szCs w:val="36"/>
        </w:rPr>
        <w:t>要</w:t>
      </w:r>
      <w:r>
        <w:rPr>
          <w:rFonts w:hint="eastAsia" w:ascii="黑体" w:hAnsi="黑体" w:eastAsia="黑体"/>
          <w:b/>
          <w:bCs/>
          <w:sz w:val="36"/>
          <w:szCs w:val="36"/>
        </w:rPr>
        <mc:AlternateContent>
          <mc:Choice Requires="wps">
            <w:drawing>
              <wp:anchor distT="0" distB="0" distL="114300" distR="114300" simplePos="0" relativeHeight="251661312" behindDoc="0" locked="0" layoutInCell="1" allowOverlap="1">
                <wp:simplePos x="0" y="0"/>
                <wp:positionH relativeFrom="column">
                  <wp:posOffset>3882390</wp:posOffset>
                </wp:positionH>
                <wp:positionV relativeFrom="paragraph">
                  <wp:posOffset>38100</wp:posOffset>
                </wp:positionV>
                <wp:extent cx="1828800" cy="891540"/>
                <wp:effectExtent l="680085" t="9525" r="15240" b="13335"/>
                <wp:wrapNone/>
                <wp:docPr id="12" name="圆角矩形标注 12"/>
                <wp:cNvGraphicFramePr/>
                <a:graphic xmlns:a="http://schemas.openxmlformats.org/drawingml/2006/main">
                  <a:graphicData uri="http://schemas.microsoft.com/office/word/2010/wordprocessingShape">
                    <wps:wsp>
                      <wps:cNvSpPr>
                        <a:spLocks noChangeArrowheads="1"/>
                      </wps:cNvSpPr>
                      <wps:spPr bwMode="auto">
                        <a:xfrm>
                          <a:off x="0" y="0"/>
                          <a:ext cx="1828800" cy="891540"/>
                        </a:xfrm>
                        <a:prstGeom prst="wedgeRoundRectCallout">
                          <a:avLst>
                            <a:gd name="adj1" fmla="val -84134"/>
                            <a:gd name="adj2" fmla="val 12676"/>
                            <a:gd name="adj3" fmla="val 16667"/>
                          </a:avLst>
                        </a:prstGeom>
                        <a:noFill/>
                        <a:ln w="13970" cmpd="sng">
                          <a:solidFill>
                            <a:srgbClr val="000000"/>
                          </a:solidFill>
                          <a:miter lim="800000"/>
                        </a:ln>
                        <a:effectLst/>
                      </wps:spPr>
                      <wps:txbx>
                        <w:txbxContent>
                          <w:p>
                            <w:pPr>
                              <w:rPr>
                                <w:szCs w:val="48"/>
                              </w:rPr>
                            </w:pPr>
                            <w:r>
                              <w:rPr>
                                <w:rFonts w:hint="eastAsia" w:ascii="楷体_GB2312" w:eastAsia="楷体_GB2312"/>
                                <w:b/>
                                <w:color w:val="FF0000"/>
                                <w:sz w:val="24"/>
                              </w:rPr>
                              <w:t>居中，字体为小二号黑体加粗，两字间空2格，行距为</w:t>
                            </w:r>
                            <w:r>
                              <w:rPr>
                                <w:rFonts w:hint="eastAsia" w:ascii="楷体_GB2312" w:eastAsia="楷体_GB2312"/>
                                <w:b/>
                                <w:bCs/>
                                <w:color w:val="FF0000"/>
                                <w:sz w:val="24"/>
                              </w:rPr>
                              <w:t>单倍行距，</w:t>
                            </w:r>
                            <w:r>
                              <w:rPr>
                                <w:rFonts w:hint="eastAsia" w:ascii="楷体_GB2312" w:eastAsia="楷体_GB2312"/>
                                <w:b/>
                                <w:color w:val="FF0000"/>
                                <w:sz w:val="24"/>
                              </w:rPr>
                              <w:t>段间距为24磅</w:t>
                            </w:r>
                          </w:p>
                        </w:txbxContent>
                      </wps:txbx>
                      <wps:bodyPr rot="0" vert="horz" wrap="square" lIns="7200" tIns="3600" rIns="7200" bIns="10800" anchor="ctr" anchorCtr="0" upright="1">
                        <a:noAutofit/>
                      </wps:bodyPr>
                    </wps:wsp>
                  </a:graphicData>
                </a:graphic>
              </wp:anchor>
            </w:drawing>
          </mc:Choice>
          <mc:Fallback>
            <w:pict>
              <v:shape id="_x0000_s1026" o:spid="_x0000_s1026" o:spt="62" type="#_x0000_t62" style="position:absolute;left:0pt;margin-left:305.7pt;margin-top:3pt;height:70.2pt;width:144pt;z-index:251661312;v-text-anchor:middle;mso-width-relative:page;mso-height-relative:page;" filled="f" stroked="t" coordsize="21600,21600" o:gfxdata="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" adj="-7373,13538,14400">
                <v:fill on="f" focussize="0,0"/>
                <v:stroke weight="1.1pt" color="#000000" miterlimit="8" joinstyle="miter"/>
                <v:imagedata o:title=""/>
                <o:lock v:ext="edit" aspectratio="f"/>
                <v:textbox inset="0.2mm,0.1mm,0.2mm,0.3mm">
                  <w:txbxContent>
                    <w:p>
                      <w:pPr>
                        <w:rPr>
                          <w:szCs w:val="48"/>
                        </w:rPr>
                      </w:pPr>
                      <w:r>
                        <w:rPr>
                          <w:rFonts w:hint="eastAsia" w:ascii="楷体_GB2312" w:eastAsia="楷体_GB2312"/>
                          <w:b/>
                          <w:color w:val="FF0000"/>
                          <w:sz w:val="24"/>
                        </w:rPr>
                        <w:t>居中，字体为小二号黑体加粗，两字间空2格，行距为</w:t>
                      </w:r>
                      <w:r>
                        <w:rPr>
                          <w:rFonts w:hint="eastAsia" w:ascii="楷体_GB2312" w:eastAsia="楷体_GB2312"/>
                          <w:b/>
                          <w:bCs/>
                          <w:color w:val="FF0000"/>
                          <w:sz w:val="24"/>
                        </w:rPr>
                        <w:t>单倍行距，</w:t>
                      </w:r>
                      <w:r>
                        <w:rPr>
                          <w:rFonts w:hint="eastAsia" w:ascii="楷体_GB2312" w:eastAsia="楷体_GB2312"/>
                          <w:b/>
                          <w:color w:val="FF0000"/>
                          <w:sz w:val="24"/>
                        </w:rPr>
                        <w:t>段间距为24磅</w:t>
                      </w:r>
                    </w:p>
                  </w:txbxContent>
                </v:textbox>
              </v:shape>
            </w:pict>
          </mc:Fallback>
        </mc:AlternateContent>
      </w:r>
    </w:p>
    <w:p>
      <w:pPr>
        <w:ind w:firstLine="482" w:firstLineChars="200"/>
        <w:rPr>
          <w:rFonts w:ascii="楷体_GB2312" w:eastAsia="楷体_GB2312"/>
          <w:b/>
          <w:color w:val="FF0000"/>
          <w:sz w:val="24"/>
        </w:rPr>
      </w:pPr>
      <w:r>
        <w:rPr>
          <w:rFonts w:hint="eastAsia" w:ascii="楷体_GB2312" w:eastAsia="楷体_GB2312"/>
          <w:b/>
          <w:color w:val="FF0000"/>
          <w:sz w:val="24"/>
        </w:rPr>
        <w:t>（空</w:t>
      </w:r>
      <w:r>
        <w:rPr>
          <w:rFonts w:hint="eastAsia" w:ascii="楷体_GB2312" w:hAnsi="宋体" w:eastAsia="楷体_GB2312"/>
          <w:b/>
          <w:color w:val="FF0000"/>
          <w:sz w:val="24"/>
        </w:rPr>
        <w:t>一行</w:t>
      </w:r>
      <w:r>
        <w:rPr>
          <w:rFonts w:hint="eastAsia" w:ascii="楷体_GB2312" w:eastAsia="楷体_GB2312"/>
          <w:b/>
          <w:color w:val="FF0000"/>
          <w:sz w:val="24"/>
        </w:rPr>
        <w:t>）</w:t>
      </w:r>
    </w:p>
    <w:p>
      <w:pPr>
        <w:adjustRightInd w:val="0"/>
        <w:snapToGrid w:val="0"/>
        <w:spacing w:line="360" w:lineRule="auto"/>
        <w:ind w:firstLine="560" w:firstLineChars="200"/>
        <w:rPr>
          <w:rFonts w:ascii="楷体_GB2312" w:hAnsi="宋体" w:eastAsia="楷体_GB2312"/>
          <w:b/>
          <w:color w:val="FF0000"/>
          <w:sz w:val="24"/>
        </w:rPr>
      </w:pPr>
      <w:r>
        <w:rPr>
          <w:rFonts w:hint="eastAsia" w:ascii="宋体" w:hAnsi="宋体" w:cs="宋体"/>
          <w:sz w:val="28"/>
          <w:szCs w:val="28"/>
        </w:rPr>
        <w:t>物流是指为了满足客户的需求，以最低的成本高效率的完成，通过运输、保管、配送等方式，实现原材料、半成品、成品或相关信息进行由商品的产地到商品的消费地的计划、实施和管理的全过程，是融合运输业、仓储业、货代业和信息业等的复合型服务产业，是国民经济的重要组成部分，也是现代企业供应链环节的关键部分，但是在我国物流行业起步较晚，企业对于物流环节建设较弱，关键硬件、软件建设不全面，特别是从事人员在企业物流环节的不适配，一直是困扰企业的主要问题，如何规范、健全企业的物流运作，为企业管理者继续探讨及解决的问题。因此本人结合自己的工作，以广东冠豪高新技术股份有限公司为例，浅析冠豪高新技术股份有限公司在物流运作中存在的问题，以及针对问题提出相应的改善措施。</w:t>
      </w:r>
      <w:r>
        <w:rPr>
          <w:rFonts w:hint="eastAsia" w:ascii="楷体_GB2312" w:eastAsia="楷体_GB2312"/>
          <w:b/>
          <w:color w:val="FF0000"/>
          <w:sz w:val="24"/>
        </w:rPr>
        <w:t>（约300字，字体为四号宋体，首行缩进2字符，行距为1.5倍行距，段间距为0</w:t>
      </w:r>
      <w:r>
        <w:rPr>
          <w:rFonts w:hint="eastAsia" w:ascii="楷体_GB2312" w:hAnsi="宋体" w:eastAsia="楷体_GB2312"/>
          <w:b/>
          <w:color w:val="FF0000"/>
          <w:sz w:val="24"/>
        </w:rPr>
        <w:t>）</w:t>
      </w:r>
    </w:p>
    <w:p>
      <w:pPr>
        <w:ind w:firstLine="562" w:firstLineChars="200"/>
        <w:rPr>
          <w:rFonts w:ascii="宋体" w:hAnsi="宋体" w:cs="宋体"/>
          <w:sz w:val="28"/>
          <w:szCs w:val="28"/>
        </w:rPr>
      </w:pPr>
      <w:r>
        <w:rPr>
          <w:rFonts w:hint="eastAsia" w:ascii="楷体_GB2312" w:eastAsia="楷体_GB2312"/>
          <w:b/>
          <w:color w:val="FF0000"/>
          <w:sz w:val="28"/>
          <w:szCs w:val="28"/>
        </w:rPr>
        <w:t>（空</w:t>
      </w:r>
      <w:r>
        <w:rPr>
          <w:rFonts w:hint="eastAsia" w:ascii="楷体_GB2312" w:hAnsi="宋体" w:eastAsia="楷体_GB2312"/>
          <w:b/>
          <w:color w:val="FF0000"/>
          <w:sz w:val="28"/>
          <w:szCs w:val="28"/>
        </w:rPr>
        <w:t>一行</w:t>
      </w:r>
      <w:r>
        <w:rPr>
          <w:rFonts w:hint="eastAsia" w:ascii="楷体_GB2312" w:eastAsia="楷体_GB2312"/>
          <w:b/>
          <w:color w:val="FF0000"/>
          <w:sz w:val="28"/>
          <w:szCs w:val="28"/>
        </w:rPr>
        <w:t>）</w:t>
      </w:r>
    </w:p>
    <w:p>
      <w:pPr>
        <w:spacing w:line="360" w:lineRule="auto"/>
        <w:ind w:firstLine="560" w:firstLineChars="200"/>
        <w:rPr>
          <w:sz w:val="24"/>
          <w:szCs w:val="24"/>
        </w:rPr>
      </w:pPr>
      <w:r>
        <w:rPr>
          <w:rFonts w:hint="eastAsia" w:ascii="黑体" w:hAnsi="黑体" w:eastAsia="黑体"/>
          <w:sz w:val="28"/>
          <w:szCs w:val="28"/>
        </w:rPr>
        <w:t>关键词</w:t>
      </w:r>
      <w:r>
        <w:rPr>
          <w:rFonts w:hint="eastAsia"/>
          <w:sz w:val="28"/>
          <w:szCs w:val="28"/>
        </w:rPr>
        <w:t>：</w:t>
      </w:r>
      <w:r>
        <w:rPr>
          <w:rFonts w:hint="eastAsia" w:ascii="楷体_GB2312" w:hAnsi="黑体" w:eastAsia="楷体_GB2312"/>
          <w:b/>
          <w:color w:val="FF0000"/>
          <w:sz w:val="24"/>
        </w:rPr>
        <w:t>（</w:t>
      </w:r>
      <w:r>
        <w:rPr>
          <w:rFonts w:hint="eastAsia" w:ascii="楷体_GB2312" w:eastAsia="楷体_GB2312"/>
          <w:b/>
          <w:color w:val="FF0000"/>
          <w:sz w:val="24"/>
        </w:rPr>
        <w:t>缩进2字符，字体为四号黑体字，其后为圆角冒号）</w:t>
      </w:r>
      <w:r>
        <w:rPr>
          <w:rFonts w:hint="eastAsia"/>
          <w:sz w:val="28"/>
          <w:szCs w:val="28"/>
        </w:rPr>
        <w:t>冠豪高新；物流；现代企业；供应链；仓储；运输</w:t>
      </w:r>
      <w:r>
        <w:rPr>
          <w:rFonts w:hint="eastAsia" w:eastAsia="仿宋_GB2312"/>
          <w:b/>
          <w:color w:val="FF0000"/>
          <w:sz w:val="24"/>
        </w:rPr>
        <w:t>（</w:t>
      </w:r>
      <w:r>
        <w:rPr>
          <w:rFonts w:hint="eastAsia" w:ascii="楷体_GB2312" w:eastAsia="楷体_GB2312"/>
          <w:b/>
          <w:color w:val="FF0000"/>
          <w:sz w:val="24"/>
        </w:rPr>
        <w:t>字体为</w:t>
      </w:r>
      <w:r>
        <w:rPr>
          <w:rFonts w:hint="eastAsia" w:eastAsia="仿宋_GB2312"/>
          <w:b/>
          <w:color w:val="FF0000"/>
          <w:sz w:val="24"/>
        </w:rPr>
        <w:t>四号宋体字，各词之间用分号分隔）</w:t>
      </w:r>
    </w:p>
    <w:p>
      <w:pPr>
        <w:spacing w:line="360" w:lineRule="auto"/>
        <w:ind w:firstLine="480" w:firstLineChars="200"/>
        <w:rPr>
          <w:sz w:val="24"/>
          <w:szCs w:val="24"/>
        </w:rPr>
      </w:pPr>
    </w:p>
    <w:p>
      <w:pPr>
        <w:spacing w:line="360" w:lineRule="auto"/>
        <w:ind w:firstLine="200"/>
        <w:rPr>
          <w:sz w:val="24"/>
          <w:szCs w:val="24"/>
        </w:rPr>
      </w:pPr>
    </w:p>
    <w:p>
      <w:pPr>
        <w:spacing w:line="360" w:lineRule="auto"/>
        <w:ind w:firstLine="200"/>
        <w:sectPr>
          <w:footerReference r:id="rId11" w:type="default"/>
          <w:pgSz w:w="11906" w:h="16838"/>
          <w:pgMar w:top="1440" w:right="1797" w:bottom="1440" w:left="1797" w:header="851" w:footer="992" w:gutter="0"/>
          <w:pgNumType w:start="1"/>
          <w:cols w:space="720" w:num="1"/>
          <w:docGrid w:type="lines" w:linePitch="312" w:charSpace="0"/>
        </w:sectPr>
      </w:pPr>
    </w:p>
    <w:p>
      <w:pPr>
        <w:adjustRightInd w:val="0"/>
        <w:snapToGrid w:val="0"/>
        <w:spacing w:line="360" w:lineRule="auto"/>
        <w:ind w:firstLine="562" w:firstLineChars="200"/>
        <w:jc w:val="center"/>
        <w:rPr>
          <w:rFonts w:ascii="黑体" w:hAnsi="黑体" w:eastAsia="黑体"/>
          <w:b/>
          <w:color w:val="FF0000"/>
          <w:sz w:val="28"/>
          <w:szCs w:val="28"/>
        </w:rPr>
      </w:pPr>
      <w:bookmarkStart w:id="0" w:name="_Hlk69238106"/>
      <w:r>
        <w:rPr>
          <w:rFonts w:hint="eastAsia" w:ascii="黑体" w:hAnsi="黑体" w:eastAsia="黑体"/>
          <w:b/>
          <w:color w:val="FF0000"/>
          <w:sz w:val="28"/>
          <w:szCs w:val="28"/>
        </w:rPr>
        <w:t>(正文不少于6000字！)</w:t>
      </w:r>
    </w:p>
    <w:p>
      <w:pPr>
        <w:adjustRightInd w:val="0"/>
        <w:snapToGrid w:val="0"/>
        <w:spacing w:line="360" w:lineRule="auto"/>
        <w:ind w:firstLine="480" w:firstLineChars="200"/>
        <w:rPr>
          <w:rFonts w:ascii="楷体_GB2312" w:hAnsi="宋体" w:eastAsia="楷体_GB2312"/>
          <w:b/>
          <w:color w:val="FF0000"/>
          <w:sz w:val="24"/>
        </w:rPr>
      </w:pPr>
      <w:r>
        <w:rPr>
          <w:rFonts w:hint="eastAsia" w:ascii="宋体" w:hAnsi="宋体"/>
          <w:sz w:val="24"/>
          <w:szCs w:val="24"/>
        </w:rPr>
        <w:t>广东冠豪高新技术股份有限公司（以下简称“冠豪高新”）于1993年在湛江经济技术开发区成立，1995年建成投产，</w:t>
      </w:r>
      <w:r>
        <w:rPr>
          <w:rFonts w:ascii="宋体" w:hAnsi="宋体"/>
          <w:sz w:val="24"/>
          <w:szCs w:val="24"/>
        </w:rPr>
        <w:t>注册资本1.6亿元人民币，是国家级重点</w:t>
      </w:r>
      <w:r>
        <w:fldChar w:fldCharType="begin"/>
      </w:r>
      <w:r>
        <w:instrText xml:space="preserve"> HYPERLINK "https://baike.baidu.com/item/%E9%AB%98%E6%96%B0%E6%8A%80%E6%9C%AF%E4%BC%81%E4%B8%9A/3673778" \t "_blank" </w:instrText>
      </w:r>
      <w:r>
        <w:fldChar w:fldCharType="separate"/>
      </w:r>
      <w:r>
        <w:rPr>
          <w:rFonts w:ascii="宋体" w:hAnsi="宋体"/>
          <w:sz w:val="24"/>
          <w:szCs w:val="24"/>
        </w:rPr>
        <w:t>高新技术企业</w:t>
      </w:r>
      <w:r>
        <w:rPr>
          <w:rFonts w:ascii="宋体" w:hAnsi="宋体"/>
          <w:sz w:val="24"/>
          <w:szCs w:val="24"/>
        </w:rPr>
        <w:fldChar w:fldCharType="end"/>
      </w:r>
      <w:r>
        <w:rPr>
          <w:rFonts w:hint="eastAsia" w:ascii="宋体" w:hAnsi="宋体"/>
          <w:sz w:val="24"/>
          <w:szCs w:val="24"/>
        </w:rPr>
        <w:t>。</w:t>
      </w:r>
      <w:r>
        <w:rPr>
          <w:rFonts w:ascii="宋体" w:hAnsi="宋体"/>
          <w:sz w:val="24"/>
          <w:szCs w:val="24"/>
        </w:rPr>
        <w:t>2003年6月首次公开发行股票，在</w:t>
      </w:r>
      <w:r>
        <w:fldChar w:fldCharType="begin"/>
      </w:r>
      <w:r>
        <w:instrText xml:space="preserve"> HYPERLINK "https://baike.baidu.com/item/%E4%B8%8A%E6%B5%B7%E8%AF%81%E5%88%B8%E4%BA%A4%E6%98%93%E6%89%80/1247763" \t "_blank" </w:instrText>
      </w:r>
      <w:r>
        <w:fldChar w:fldCharType="separate"/>
      </w:r>
      <w:r>
        <w:rPr>
          <w:rFonts w:ascii="宋体" w:hAnsi="宋体"/>
          <w:sz w:val="24"/>
          <w:szCs w:val="24"/>
        </w:rPr>
        <w:t>上海证券交易所</w:t>
      </w:r>
      <w:r>
        <w:rPr>
          <w:rFonts w:ascii="宋体" w:hAnsi="宋体"/>
          <w:sz w:val="24"/>
          <w:szCs w:val="24"/>
        </w:rPr>
        <w:fldChar w:fldCharType="end"/>
      </w:r>
      <w:r>
        <w:rPr>
          <w:rFonts w:ascii="宋体" w:hAnsi="宋体"/>
          <w:sz w:val="24"/>
          <w:szCs w:val="24"/>
        </w:rPr>
        <w:t>上市。</w:t>
      </w:r>
      <w:r>
        <w:rPr>
          <w:rFonts w:hint="eastAsia" w:ascii="宋体" w:hAnsi="宋体"/>
          <w:sz w:val="24"/>
          <w:szCs w:val="24"/>
        </w:rPr>
        <w:t>冠豪高新现拥有2条原纸生产线和</w:t>
      </w:r>
      <w:r>
        <w:rPr>
          <w:rFonts w:ascii="宋体" w:hAnsi="宋体"/>
          <w:sz w:val="24"/>
          <w:szCs w:val="24"/>
        </w:rPr>
        <w:t>8</w:t>
      </w:r>
      <w:r>
        <w:rPr>
          <w:rFonts w:hint="eastAsia" w:ascii="宋体" w:hAnsi="宋体"/>
          <w:sz w:val="24"/>
          <w:szCs w:val="24"/>
        </w:rPr>
        <w:t>条涂布生产线，也是国内目前生产设备及工艺先进的大型特种纸生产基地。</w:t>
      </w:r>
      <w:r>
        <w:rPr>
          <w:rFonts w:hint="eastAsia" w:ascii="楷体_GB2312" w:hAnsi="宋体" w:eastAsia="楷体_GB2312"/>
          <w:b/>
          <w:color w:val="FF0000"/>
          <w:sz w:val="24"/>
        </w:rPr>
        <w:t>（首行</w:t>
      </w:r>
      <w:r>
        <w:rPr>
          <w:rFonts w:hint="eastAsia" w:ascii="楷体_GB2312" w:eastAsia="楷体_GB2312"/>
          <w:b/>
          <w:color w:val="FF0000"/>
          <w:sz w:val="24"/>
        </w:rPr>
        <w:t>缩进2字符，字体为小四号宋体，</w:t>
      </w:r>
      <w:r>
        <w:rPr>
          <w:rFonts w:hint="eastAsia" w:ascii="楷体_GB2312" w:hAnsi="宋体" w:eastAsia="楷体_GB2312"/>
          <w:b/>
          <w:color w:val="FF0000"/>
          <w:sz w:val="24"/>
        </w:rPr>
        <w:t>文字的行间距</w:t>
      </w:r>
      <w:r>
        <w:rPr>
          <w:rFonts w:hint="eastAsia" w:ascii="楷体_GB2312" w:eastAsia="楷体_GB2312"/>
          <w:b/>
          <w:color w:val="FF0000"/>
          <w:sz w:val="24"/>
        </w:rPr>
        <w:t>为1.5倍行距，段间距为0</w:t>
      </w:r>
      <w:r>
        <w:rPr>
          <w:rFonts w:hint="eastAsia" w:ascii="楷体_GB2312" w:hAnsi="宋体" w:eastAsia="楷体_GB2312"/>
          <w:b/>
          <w:color w:val="FF0000"/>
          <w:sz w:val="24"/>
        </w:rPr>
        <w:t>）</w:t>
      </w:r>
    </w:p>
    <w:bookmarkEnd w:id="0"/>
    <w:p>
      <w:pPr>
        <w:adjustRightInd w:val="0"/>
        <w:snapToGrid w:val="0"/>
        <w:spacing w:before="100" w:beforeAutospacing="1" w:after="100" w:afterAutospacing="1"/>
        <w:rPr>
          <w:rFonts w:ascii="黑体" w:hAnsi="黑体" w:eastAsia="黑体"/>
          <w:b/>
          <w:sz w:val="36"/>
          <w:szCs w:val="36"/>
        </w:rPr>
      </w:pPr>
      <w:r>
        <w:rPr>
          <w:rFonts w:hint="eastAsia" w:ascii="黑体" w:hAnsi="黑体" w:eastAsia="黑体"/>
          <w:b/>
          <w:sz w:val="36"/>
          <w:szCs w:val="36"/>
        </w:rPr>
        <w:t>一、冠豪高新物流管理概况</w:t>
      </w:r>
      <w:r>
        <w:rPr>
          <w:rFonts w:hint="eastAsia" w:ascii="楷体_GB2312" w:hAnsi="黑体" w:eastAsia="楷体_GB2312"/>
          <w:b/>
          <w:color w:val="FF0000"/>
          <w:sz w:val="24"/>
        </w:rPr>
        <w:t>（</w:t>
      </w:r>
      <w:r>
        <w:rPr>
          <w:rFonts w:hint="eastAsia" w:ascii="楷体_GB2312" w:eastAsia="楷体_GB2312"/>
          <w:b/>
          <w:color w:val="FF0000"/>
          <w:sz w:val="24"/>
        </w:rPr>
        <w:t>一级标题：两端对齐，字体为小二号黑体加粗，</w:t>
      </w:r>
      <w:r>
        <w:rPr>
          <w:rFonts w:hint="eastAsia" w:ascii="楷体_GB2312" w:hAnsi="宋体" w:eastAsia="楷体_GB2312"/>
          <w:b/>
          <w:color w:val="FF0000"/>
          <w:sz w:val="24"/>
        </w:rPr>
        <w:t>文字的行间距</w:t>
      </w:r>
      <w:r>
        <w:rPr>
          <w:rFonts w:hint="eastAsia" w:ascii="楷体_GB2312" w:eastAsia="楷体_GB2312"/>
          <w:b/>
          <w:color w:val="FF0000"/>
          <w:sz w:val="24"/>
        </w:rPr>
        <w:t>为</w:t>
      </w:r>
      <w:r>
        <w:rPr>
          <w:rFonts w:hint="eastAsia" w:ascii="楷体_GB2312" w:eastAsia="楷体_GB2312"/>
          <w:b/>
          <w:bCs/>
          <w:color w:val="FF0000"/>
          <w:sz w:val="24"/>
        </w:rPr>
        <w:t>单倍行距，</w:t>
      </w:r>
      <w:r>
        <w:rPr>
          <w:rFonts w:hint="eastAsia" w:ascii="楷体_GB2312" w:eastAsia="楷体_GB2312"/>
          <w:b/>
          <w:color w:val="FF0000"/>
          <w:sz w:val="24"/>
        </w:rPr>
        <w:t>段间距为24磅</w:t>
      </w:r>
      <w:r>
        <w:rPr>
          <w:rFonts w:hint="eastAsia" w:ascii="楷体_GB2312" w:hAnsi="黑体" w:eastAsia="楷体_GB2312"/>
          <w:b/>
          <w:color w:val="FF0000"/>
          <w:sz w:val="24"/>
        </w:rPr>
        <w:t>）</w:t>
      </w:r>
    </w:p>
    <w:p>
      <w:pPr>
        <w:spacing w:line="360" w:lineRule="auto"/>
        <w:ind w:firstLine="480" w:firstLineChars="200"/>
        <w:rPr>
          <w:rFonts w:ascii="楷体_GB2312" w:hAnsi="宋体" w:eastAsia="楷体_GB2312"/>
          <w:b/>
          <w:color w:val="FF0000"/>
          <w:sz w:val="24"/>
        </w:rPr>
      </w:pPr>
      <w:r>
        <w:rPr>
          <w:rFonts w:hint="eastAsia" w:ascii="宋体" w:hAnsi="宋体"/>
          <w:sz w:val="24"/>
          <w:szCs w:val="24"/>
        </w:rPr>
        <w:t>目前，位于湛江市东海岛的冠豪高新总部日产量约为1200吨，且年增长率约为12%。</w:t>
      </w:r>
      <w:r>
        <w:rPr>
          <w:rFonts w:ascii="宋体" w:hAnsi="宋体"/>
          <w:sz w:val="24"/>
          <w:szCs w:val="24"/>
        </w:rPr>
        <w:t>……</w:t>
      </w:r>
      <w:r>
        <w:rPr>
          <w:rFonts w:hint="eastAsia" w:ascii="楷体_GB2312" w:hAnsi="宋体" w:eastAsia="楷体_GB2312"/>
          <w:b/>
          <w:color w:val="FF0000"/>
          <w:sz w:val="24"/>
        </w:rPr>
        <w:t>（正文部分，首行</w:t>
      </w:r>
      <w:r>
        <w:rPr>
          <w:rFonts w:hint="eastAsia" w:ascii="楷体_GB2312" w:eastAsia="楷体_GB2312"/>
          <w:b/>
          <w:color w:val="FF0000"/>
          <w:sz w:val="24"/>
        </w:rPr>
        <w:t>缩进2字符，字体为小四号宋体，</w:t>
      </w:r>
      <w:r>
        <w:rPr>
          <w:rFonts w:hint="eastAsia" w:ascii="楷体_GB2312" w:hAnsi="宋体" w:eastAsia="楷体_GB2312"/>
          <w:b/>
          <w:color w:val="FF0000"/>
          <w:sz w:val="24"/>
        </w:rPr>
        <w:t>文字的行间距</w:t>
      </w:r>
      <w:r>
        <w:rPr>
          <w:rFonts w:hint="eastAsia" w:ascii="楷体_GB2312" w:eastAsia="楷体_GB2312"/>
          <w:b/>
          <w:color w:val="FF0000"/>
          <w:sz w:val="24"/>
        </w:rPr>
        <w:t>为1.5倍行距，段间距为0</w:t>
      </w:r>
      <w:r>
        <w:rPr>
          <w:rFonts w:hint="eastAsia" w:ascii="楷体_GB2312" w:hAnsi="宋体" w:eastAsia="楷体_GB2312"/>
          <w:b/>
          <w:color w:val="FF0000"/>
          <w:sz w:val="24"/>
        </w:rPr>
        <w:t>）</w:t>
      </w:r>
    </w:p>
    <w:p>
      <w:pPr>
        <w:tabs>
          <w:tab w:val="left" w:pos="795"/>
        </w:tabs>
        <w:spacing w:before="480" w:after="480"/>
        <w:rPr>
          <w:rFonts w:ascii="黑体" w:hAnsi="黑体" w:eastAsia="黑体"/>
          <w:b/>
          <w:sz w:val="36"/>
          <w:szCs w:val="36"/>
        </w:rPr>
      </w:pPr>
      <w:r>
        <w:rPr>
          <w:rFonts w:hint="eastAsia" w:ascii="黑体" w:hAnsi="黑体" w:eastAsia="黑体"/>
          <w:b/>
          <w:sz w:val="36"/>
          <w:szCs w:val="36"/>
        </w:rPr>
        <w:t>二、冠豪高新物流管理存在的问题</w:t>
      </w:r>
    </w:p>
    <w:p>
      <w:pPr>
        <w:spacing w:line="360" w:lineRule="auto"/>
        <w:ind w:firstLine="480" w:firstLineChars="200"/>
        <w:rPr>
          <w:rFonts w:ascii="宋体" w:hAnsi="宋体"/>
          <w:sz w:val="24"/>
          <w:szCs w:val="24"/>
        </w:rPr>
      </w:pPr>
      <w:r>
        <w:rPr>
          <w:rFonts w:hint="eastAsia" w:ascii="宋体" w:hAnsi="宋体"/>
          <w:sz w:val="24"/>
          <w:szCs w:val="24"/>
        </w:rPr>
        <w:t>随着公司近年来的高速发展。公司在各方面都有着十足的进步，硬件、软件综合实力得以明显提升，但是随着企业规模的不断变大、制度的改变、人员的接替变更等因素影响，导致在各个环节还是会存在一些流程上的问题，其中在物流环节的问题本人在此进行归纳总结，大致分以下几点：</w:t>
      </w:r>
    </w:p>
    <w:p>
      <w:pPr>
        <w:snapToGrid w:val="0"/>
        <w:spacing w:before="360" w:after="360"/>
        <w:rPr>
          <w:rFonts w:ascii="黑体" w:hAnsi="黑体" w:eastAsia="黑体"/>
          <w:b/>
          <w:sz w:val="30"/>
          <w:szCs w:val="30"/>
        </w:rPr>
      </w:pPr>
      <w:r>
        <w:rPr>
          <w:rFonts w:hint="eastAsia" w:ascii="黑体" w:hAnsi="黑体" w:eastAsia="黑体"/>
          <w:b/>
          <w:sz w:val="30"/>
          <w:szCs w:val="30"/>
        </w:rPr>
        <w:t>（一）管理和服务水平低下</w:t>
      </w:r>
      <w:r>
        <w:rPr>
          <w:rFonts w:hint="eastAsia" w:ascii="楷体_GB2312" w:hAnsi="黑体" w:eastAsia="楷体_GB2312"/>
          <w:b/>
          <w:color w:val="FF0000"/>
          <w:sz w:val="24"/>
        </w:rPr>
        <w:t>（二</w:t>
      </w:r>
      <w:r>
        <w:rPr>
          <w:rFonts w:hint="eastAsia" w:ascii="楷体_GB2312" w:eastAsia="楷体_GB2312"/>
          <w:b/>
          <w:color w:val="FF0000"/>
          <w:sz w:val="24"/>
        </w:rPr>
        <w:t>级标题：两端对齐，字体为小三号黑体字，加粗，行距为</w:t>
      </w:r>
      <w:r>
        <w:rPr>
          <w:rFonts w:hint="eastAsia" w:ascii="楷体_GB2312" w:eastAsia="楷体_GB2312"/>
          <w:b/>
          <w:bCs/>
          <w:color w:val="FF0000"/>
          <w:sz w:val="24"/>
        </w:rPr>
        <w:t>单倍行距，</w:t>
      </w:r>
      <w:r>
        <w:rPr>
          <w:rFonts w:hint="eastAsia" w:ascii="楷体_GB2312" w:eastAsia="楷体_GB2312"/>
          <w:b/>
          <w:color w:val="FF0000"/>
          <w:sz w:val="24"/>
        </w:rPr>
        <w:t>段间距为18磅</w:t>
      </w:r>
      <w:r>
        <w:rPr>
          <w:rFonts w:hint="eastAsia" w:ascii="楷体_GB2312" w:hAnsi="黑体" w:eastAsia="楷体_GB2312"/>
          <w:b/>
          <w:color w:val="FF0000"/>
          <w:sz w:val="24"/>
        </w:rPr>
        <w:t>）</w:t>
      </w:r>
    </w:p>
    <w:p>
      <w:pPr>
        <w:snapToGrid w:val="0"/>
        <w:spacing w:before="360" w:after="360"/>
        <w:rPr>
          <w:rFonts w:ascii="黑体" w:hAnsi="黑体" w:eastAsia="黑体"/>
          <w:b/>
          <w:sz w:val="30"/>
          <w:szCs w:val="30"/>
        </w:rPr>
      </w:pPr>
      <w:r>
        <w:rPr>
          <w:rFonts w:hint="eastAsia" w:ascii="黑体" w:hAnsi="黑体" w:eastAsia="黑体"/>
          <w:b/>
          <w:sz w:val="30"/>
          <w:szCs w:val="30"/>
        </w:rPr>
        <w:t>（二）信息技术应用落后</w:t>
      </w:r>
    </w:p>
    <w:p>
      <w:pPr>
        <w:snapToGrid w:val="0"/>
        <w:spacing w:before="360" w:after="360"/>
        <w:rPr>
          <w:rFonts w:ascii="黑体" w:hAnsi="黑体" w:eastAsia="黑体"/>
          <w:b/>
          <w:sz w:val="30"/>
          <w:szCs w:val="30"/>
        </w:rPr>
      </w:pPr>
      <w:r>
        <w:rPr>
          <w:rFonts w:hint="eastAsia" w:ascii="黑体" w:hAnsi="黑体" w:eastAsia="黑体"/>
          <w:b/>
          <w:sz w:val="30"/>
          <w:szCs w:val="30"/>
        </w:rPr>
        <w:t>（三）管理人员素质不高，缺乏创新能力</w:t>
      </w:r>
    </w:p>
    <w:p>
      <w:pPr>
        <w:tabs>
          <w:tab w:val="left" w:pos="795"/>
        </w:tabs>
        <w:spacing w:before="480" w:after="480"/>
        <w:rPr>
          <w:rFonts w:ascii="黑体" w:hAnsi="黑体" w:eastAsia="黑体"/>
          <w:b/>
          <w:sz w:val="36"/>
          <w:szCs w:val="36"/>
        </w:rPr>
      </w:pPr>
      <w:r>
        <w:rPr>
          <w:rFonts w:hint="eastAsia" w:ascii="黑体" w:hAnsi="黑体" w:eastAsia="黑体"/>
          <w:b/>
          <w:sz w:val="36"/>
          <w:szCs w:val="36"/>
        </w:rPr>
        <w:t>三、冠豪高新物流管理中存在问题的分析</w:t>
      </w:r>
    </w:p>
    <w:p>
      <w:pPr>
        <w:tabs>
          <w:tab w:val="left" w:pos="795"/>
        </w:tabs>
        <w:spacing w:before="480" w:after="480"/>
        <w:rPr>
          <w:rFonts w:ascii="黑体" w:hAnsi="黑体" w:eastAsia="黑体"/>
          <w:b/>
          <w:sz w:val="36"/>
          <w:szCs w:val="36"/>
        </w:rPr>
      </w:pPr>
      <w:r>
        <w:rPr>
          <w:rFonts w:hint="eastAsia" w:ascii="黑体" w:hAnsi="黑体" w:eastAsia="黑体"/>
          <w:b/>
          <w:sz w:val="30"/>
          <w:szCs w:val="30"/>
        </w:rPr>
        <w:t>（一） 对现代企业物流管理认识不足</w:t>
      </w:r>
      <w:r>
        <w:rPr>
          <w:rFonts w:hint="eastAsia" w:ascii="楷体_GB2312" w:hAnsi="黑体" w:eastAsia="楷体_GB2312"/>
          <w:b/>
          <w:color w:val="FF0000"/>
          <w:sz w:val="24"/>
        </w:rPr>
        <w:t>（二</w:t>
      </w:r>
      <w:r>
        <w:rPr>
          <w:rFonts w:hint="eastAsia" w:ascii="楷体_GB2312" w:eastAsia="楷体_GB2312"/>
          <w:b/>
          <w:color w:val="FF0000"/>
          <w:sz w:val="24"/>
        </w:rPr>
        <w:t>级标题：两端对齐，字体为小三号黑体字，加粗，行距为</w:t>
      </w:r>
      <w:r>
        <w:rPr>
          <w:rFonts w:hint="eastAsia" w:ascii="楷体_GB2312" w:eastAsia="楷体_GB2312"/>
          <w:b/>
          <w:bCs/>
          <w:color w:val="FF0000"/>
          <w:sz w:val="24"/>
        </w:rPr>
        <w:t>单倍行距，</w:t>
      </w:r>
      <w:r>
        <w:rPr>
          <w:rFonts w:hint="eastAsia" w:ascii="楷体_GB2312" w:eastAsia="楷体_GB2312"/>
          <w:b/>
          <w:color w:val="FF0000"/>
          <w:sz w:val="24"/>
        </w:rPr>
        <w:t>段间距为18磅）</w:t>
      </w:r>
    </w:p>
    <w:p>
      <w:pPr>
        <w:numPr>
          <w:ilvl w:val="0"/>
          <w:numId w:val="1"/>
        </w:numPr>
        <w:tabs>
          <w:tab w:val="left" w:pos="3128"/>
        </w:tabs>
        <w:spacing w:before="240" w:after="240"/>
        <w:rPr>
          <w:rFonts w:ascii="黑体" w:hAnsi="黑体" w:eastAsia="黑体"/>
          <w:b/>
          <w:sz w:val="24"/>
        </w:rPr>
      </w:pPr>
      <w:r>
        <w:rPr>
          <w:rFonts w:hint="eastAsia" w:ascii="黑体" w:hAnsi="黑体" w:eastAsia="黑体"/>
          <w:b/>
          <w:sz w:val="24"/>
        </w:rPr>
        <w:t xml:space="preserve">跨部门协作流程存在问题 </w:t>
      </w:r>
      <w:r>
        <w:rPr>
          <w:rFonts w:hint="eastAsia" w:ascii="楷体_GB2312" w:eastAsia="楷体_GB2312"/>
          <w:b/>
          <w:color w:val="FF0000"/>
          <w:sz w:val="24"/>
        </w:rPr>
        <w:t>（三级标题：两端对齐，字体为小四号黑体加粗，文字的行间距为单倍行距，段间距为12磅）</w:t>
      </w:r>
    </w:p>
    <w:p>
      <w:pPr>
        <w:numPr>
          <w:ilvl w:val="0"/>
          <w:numId w:val="1"/>
        </w:numPr>
        <w:tabs>
          <w:tab w:val="left" w:pos="3128"/>
        </w:tabs>
        <w:spacing w:before="240" w:after="240"/>
        <w:rPr>
          <w:rFonts w:ascii="宋体" w:hAnsi="宋体"/>
          <w:b/>
          <w:bCs/>
          <w:sz w:val="24"/>
          <w:szCs w:val="24"/>
        </w:rPr>
      </w:pPr>
      <w:r>
        <w:rPr>
          <w:rFonts w:hint="eastAsia" w:ascii="宋体" w:hAnsi="宋体"/>
          <w:b/>
          <w:bCs/>
          <w:sz w:val="24"/>
          <w:szCs w:val="24"/>
        </w:rPr>
        <w:t>物流运输环节存在问题</w:t>
      </w:r>
    </w:p>
    <w:p>
      <w:pPr>
        <w:spacing w:line="360" w:lineRule="auto"/>
        <w:rPr>
          <w:rFonts w:ascii="楷体_GB2312" w:hAnsi="宋体" w:eastAsia="楷体_GB2312"/>
          <w:b/>
          <w:color w:val="FF0000"/>
          <w:sz w:val="24"/>
        </w:rPr>
      </w:pPr>
      <w:r>
        <w:rPr>
          <w:rFonts w:hint="eastAsia" w:ascii="宋体" w:hAnsi="宋体"/>
          <w:sz w:val="24"/>
          <w:szCs w:val="24"/>
        </w:rPr>
        <w:t>（1）信息不同步</w:t>
      </w:r>
      <w:r>
        <w:rPr>
          <w:rFonts w:hint="eastAsia" w:ascii="楷体_GB2312" w:hAnsi="宋体" w:eastAsia="楷体_GB2312"/>
          <w:b/>
          <w:color w:val="FF0000"/>
          <w:sz w:val="24"/>
        </w:rPr>
        <w:t>(四级标题两端对齐</w:t>
      </w:r>
      <w:r>
        <w:rPr>
          <w:rFonts w:hint="eastAsia" w:ascii="楷体_GB2312" w:eastAsia="楷体_GB2312"/>
          <w:b/>
          <w:color w:val="FF0000"/>
          <w:sz w:val="24"/>
        </w:rPr>
        <w:t>，字体为小四号宋体，</w:t>
      </w:r>
      <w:r>
        <w:rPr>
          <w:rFonts w:hint="eastAsia" w:ascii="楷体_GB2312" w:hAnsi="宋体" w:eastAsia="楷体_GB2312"/>
          <w:b/>
          <w:color w:val="FF0000"/>
          <w:sz w:val="24"/>
        </w:rPr>
        <w:t>文字的行间距</w:t>
      </w:r>
      <w:r>
        <w:rPr>
          <w:rFonts w:hint="eastAsia" w:ascii="楷体_GB2312" w:eastAsia="楷体_GB2312"/>
          <w:b/>
          <w:color w:val="FF0000"/>
          <w:sz w:val="24"/>
        </w:rPr>
        <w:t>为1.5倍行距，段间距为0</w:t>
      </w:r>
    </w:p>
    <w:p>
      <w:pPr>
        <w:spacing w:line="360" w:lineRule="auto"/>
        <w:ind w:firstLine="480" w:firstLineChars="200"/>
        <w:rPr>
          <w:rFonts w:ascii="楷体_GB2312" w:hAnsi="宋体" w:eastAsia="楷体_GB2312"/>
          <w:b/>
          <w:color w:val="FF0000"/>
          <w:sz w:val="24"/>
        </w:rPr>
      </w:pPr>
      <w:r>
        <w:rPr>
          <w:rFonts w:hint="eastAsia" w:ascii="宋体" w:hAnsi="宋体"/>
          <w:sz w:val="24"/>
          <w:szCs w:val="24"/>
        </w:rPr>
        <w:t>目前我司......</w:t>
      </w:r>
      <w:r>
        <w:rPr>
          <w:rFonts w:hint="eastAsia" w:ascii="楷体_GB2312" w:hAnsi="宋体" w:eastAsia="楷体_GB2312"/>
          <w:b/>
          <w:color w:val="FF0000"/>
          <w:sz w:val="24"/>
        </w:rPr>
        <w:t>（正文部分，首行</w:t>
      </w:r>
      <w:r>
        <w:rPr>
          <w:rFonts w:hint="eastAsia" w:ascii="楷体_GB2312" w:eastAsia="楷体_GB2312"/>
          <w:b/>
          <w:color w:val="FF0000"/>
          <w:sz w:val="24"/>
        </w:rPr>
        <w:t>缩进2字符，字体为小四号宋体，</w:t>
      </w:r>
      <w:r>
        <w:rPr>
          <w:rFonts w:hint="eastAsia" w:ascii="楷体_GB2312" w:hAnsi="宋体" w:eastAsia="楷体_GB2312"/>
          <w:b/>
          <w:color w:val="FF0000"/>
          <w:sz w:val="24"/>
        </w:rPr>
        <w:t>文字的行间距</w:t>
      </w:r>
      <w:r>
        <w:rPr>
          <w:rFonts w:hint="eastAsia" w:ascii="楷体_GB2312" w:eastAsia="楷体_GB2312"/>
          <w:b/>
          <w:color w:val="FF0000"/>
          <w:sz w:val="24"/>
        </w:rPr>
        <w:t>为1.5倍行距，段间距为0</w:t>
      </w:r>
      <w:r>
        <w:rPr>
          <w:rFonts w:hint="eastAsia" w:ascii="楷体_GB2312" w:hAnsi="宋体" w:eastAsia="楷体_GB2312"/>
          <w:b/>
          <w:color w:val="FF0000"/>
          <w:sz w:val="24"/>
        </w:rPr>
        <w:t>）</w:t>
      </w:r>
    </w:p>
    <w:p>
      <w:pPr>
        <w:numPr>
          <w:ilvl w:val="0"/>
          <w:numId w:val="1"/>
        </w:numPr>
        <w:tabs>
          <w:tab w:val="left" w:pos="3128"/>
        </w:tabs>
        <w:spacing w:before="240" w:after="240"/>
        <w:rPr>
          <w:rFonts w:ascii="宋体" w:hAnsi="宋体"/>
          <w:b/>
          <w:bCs/>
          <w:sz w:val="24"/>
          <w:szCs w:val="24"/>
        </w:rPr>
      </w:pPr>
      <w:r>
        <w:rPr>
          <w:rFonts w:hint="eastAsia" w:ascii="宋体" w:hAnsi="宋体"/>
          <w:b/>
          <w:bCs/>
          <w:sz w:val="24"/>
          <w:szCs w:val="24"/>
        </w:rPr>
        <w:t>物流合作方的选择较为单一</w:t>
      </w:r>
      <w:r>
        <w:rPr>
          <w:rFonts w:hint="eastAsia" w:ascii="楷体_GB2312" w:eastAsia="楷体_GB2312"/>
          <w:b/>
          <w:color w:val="FF0000"/>
          <w:sz w:val="24"/>
        </w:rPr>
        <w:t>（三级标题：两端对齐，字体为小四号黑体加粗，文字的行间距为单倍行距，段间距为12磅）</w:t>
      </w:r>
    </w:p>
    <w:p>
      <w:pPr>
        <w:snapToGrid w:val="0"/>
        <w:spacing w:before="360" w:after="360"/>
        <w:rPr>
          <w:rFonts w:ascii="黑体" w:hAnsi="黑体" w:eastAsia="黑体"/>
          <w:b/>
          <w:sz w:val="30"/>
          <w:szCs w:val="30"/>
        </w:rPr>
      </w:pPr>
      <w:r>
        <w:rPr>
          <w:rFonts w:hint="eastAsia" w:ascii="黑体" w:hAnsi="黑体" w:eastAsia="黑体"/>
          <w:b/>
          <w:sz w:val="30"/>
          <w:szCs w:val="30"/>
        </w:rPr>
        <w:t>（二） 应用信息技术能力缺乏</w:t>
      </w:r>
      <w:r>
        <w:rPr>
          <w:rFonts w:hint="eastAsia" w:ascii="楷体_GB2312" w:hAnsi="黑体" w:eastAsia="楷体_GB2312"/>
          <w:b/>
          <w:color w:val="FF0000"/>
          <w:sz w:val="24"/>
        </w:rPr>
        <w:t>（二</w:t>
      </w:r>
      <w:r>
        <w:rPr>
          <w:rFonts w:hint="eastAsia" w:ascii="楷体_GB2312" w:eastAsia="楷体_GB2312"/>
          <w:b/>
          <w:color w:val="FF0000"/>
          <w:sz w:val="24"/>
        </w:rPr>
        <w:t>级标题：两端对齐，字体为小三号黑体字，加粗，行距为</w:t>
      </w:r>
      <w:r>
        <w:rPr>
          <w:rFonts w:hint="eastAsia" w:ascii="楷体_GB2312" w:eastAsia="楷体_GB2312"/>
          <w:b/>
          <w:bCs/>
          <w:color w:val="FF0000"/>
          <w:sz w:val="24"/>
        </w:rPr>
        <w:t>单倍行距，</w:t>
      </w:r>
      <w:r>
        <w:rPr>
          <w:rFonts w:hint="eastAsia" w:ascii="楷体_GB2312" w:eastAsia="楷体_GB2312"/>
          <w:b/>
          <w:color w:val="FF0000"/>
          <w:sz w:val="24"/>
        </w:rPr>
        <w:t>段间距为18磅）</w:t>
      </w:r>
    </w:p>
    <w:p>
      <w:pPr>
        <w:tabs>
          <w:tab w:val="left" w:pos="3128"/>
        </w:tabs>
        <w:spacing w:line="360" w:lineRule="auto"/>
        <w:ind w:firstLine="600" w:firstLineChars="250"/>
        <w:rPr>
          <w:rFonts w:ascii="宋体" w:hAnsi="宋体"/>
          <w:sz w:val="24"/>
          <w:szCs w:val="24"/>
        </w:rPr>
      </w:pPr>
      <w:r>
        <w:rPr>
          <w:rFonts w:hint="eastAsia" w:ascii="宋体" w:hAnsi="宋体"/>
          <w:sz w:val="24"/>
          <w:szCs w:val="24"/>
        </w:rPr>
        <w:t>目前公司在整个物流环节大部分的工作仍然是依靠人力去弥补部分信息化功能的不足，在计算机普遍应</w:t>
      </w:r>
      <w:r>
        <w:rPr>
          <w:rFonts w:ascii="宋体" w:hAnsi="宋体"/>
          <w:sz w:val="24"/>
          <w:szCs w:val="24"/>
        </w:rPr>
        <w:t>……</w:t>
      </w:r>
    </w:p>
    <w:p>
      <w:pPr>
        <w:snapToGrid w:val="0"/>
        <w:spacing w:before="360" w:after="360"/>
        <w:rPr>
          <w:rFonts w:ascii="黑体" w:hAnsi="黑体" w:eastAsia="黑体"/>
          <w:b/>
          <w:sz w:val="30"/>
          <w:szCs w:val="30"/>
        </w:rPr>
      </w:pPr>
      <w:r>
        <w:rPr>
          <w:rFonts w:hint="eastAsia" w:ascii="黑体" w:hAnsi="黑体" w:eastAsia="黑体"/>
          <w:b/>
          <w:sz w:val="30"/>
          <w:szCs w:val="30"/>
        </w:rPr>
        <w:t>（三）人员管理制度和培养机制不完善</w:t>
      </w:r>
      <w:r>
        <w:rPr>
          <w:rFonts w:hint="eastAsia" w:ascii="楷体_GB2312" w:hAnsi="黑体" w:eastAsia="楷体_GB2312"/>
          <w:b/>
          <w:color w:val="FF0000"/>
          <w:sz w:val="24"/>
        </w:rPr>
        <w:t>（二</w:t>
      </w:r>
      <w:r>
        <w:rPr>
          <w:rFonts w:hint="eastAsia" w:ascii="楷体_GB2312" w:eastAsia="楷体_GB2312"/>
          <w:b/>
          <w:color w:val="FF0000"/>
          <w:sz w:val="24"/>
        </w:rPr>
        <w:t>级标题：两端对齐，字体为小三号黑体字，加粗，行距为</w:t>
      </w:r>
      <w:r>
        <w:rPr>
          <w:rFonts w:hint="eastAsia" w:ascii="楷体_GB2312" w:eastAsia="楷体_GB2312"/>
          <w:b/>
          <w:bCs/>
          <w:color w:val="FF0000"/>
          <w:sz w:val="24"/>
        </w:rPr>
        <w:t>单倍行距，</w:t>
      </w:r>
      <w:r>
        <w:rPr>
          <w:rFonts w:hint="eastAsia" w:ascii="楷体_GB2312" w:eastAsia="楷体_GB2312"/>
          <w:b/>
          <w:color w:val="FF0000"/>
          <w:sz w:val="24"/>
        </w:rPr>
        <w:t>段间距为18磅）</w:t>
      </w:r>
    </w:p>
    <w:p>
      <w:pPr>
        <w:tabs>
          <w:tab w:val="left" w:pos="3128"/>
        </w:tabs>
        <w:spacing w:line="360" w:lineRule="auto"/>
        <w:ind w:firstLine="480" w:firstLineChars="200"/>
        <w:rPr>
          <w:rFonts w:ascii="宋体" w:hAnsi="宋体"/>
          <w:sz w:val="24"/>
          <w:szCs w:val="24"/>
        </w:rPr>
      </w:pPr>
      <w:r>
        <w:rPr>
          <w:rFonts w:hint="eastAsia" w:ascii="宋体" w:hAnsi="宋体"/>
          <w:sz w:val="24"/>
          <w:szCs w:val="24"/>
        </w:rPr>
        <w:t>据统计，在整个物流环节，涉及到的相关部门中，其中计划部平均受教育水平为大专，而物流部、生产部人员平均受教育水平只为初中。人员综合素质水平也不尽相同，导致在发货过程中跨部门协作能力较低，不能实现整体功能的最大化。例如企业为了降本增</w:t>
      </w:r>
      <w:r>
        <w:rPr>
          <w:rFonts w:ascii="宋体" w:hAnsi="宋体"/>
          <w:sz w:val="24"/>
          <w:szCs w:val="24"/>
        </w:rPr>
        <w:t>……</w:t>
      </w:r>
    </w:p>
    <w:p>
      <w:pPr>
        <w:pStyle w:val="20"/>
        <w:numPr>
          <w:ilvl w:val="0"/>
          <w:numId w:val="2"/>
        </w:numPr>
        <w:tabs>
          <w:tab w:val="left" w:pos="795"/>
        </w:tabs>
        <w:spacing w:before="480" w:after="480"/>
        <w:ind w:firstLineChars="0"/>
        <w:rPr>
          <w:rFonts w:ascii="黑体" w:hAnsi="黑体" w:eastAsia="黑体"/>
          <w:b/>
          <w:sz w:val="36"/>
          <w:szCs w:val="36"/>
        </w:rPr>
      </w:pPr>
      <w:r>
        <w:rPr>
          <w:rFonts w:hint="eastAsia" w:ascii="黑体" w:hAnsi="黑体" w:eastAsia="黑体"/>
          <w:b/>
          <w:sz w:val="36"/>
          <w:szCs w:val="36"/>
        </w:rPr>
        <w:t>冠豪高新物流管理存在问题的改善对策</w:t>
      </w:r>
    </w:p>
    <w:p>
      <w:pPr>
        <w:snapToGrid w:val="0"/>
        <w:spacing w:before="360" w:after="360"/>
        <w:rPr>
          <w:rFonts w:ascii="黑体" w:hAnsi="黑体" w:eastAsia="黑体"/>
          <w:b/>
          <w:sz w:val="30"/>
          <w:szCs w:val="30"/>
        </w:rPr>
      </w:pPr>
      <w:r>
        <w:rPr>
          <w:rFonts w:hint="eastAsia" w:ascii="黑体" w:hAnsi="黑体" w:eastAsia="黑体"/>
          <w:b/>
          <w:sz w:val="30"/>
          <w:szCs w:val="30"/>
        </w:rPr>
        <w:t>（一） 转变经营管理理念，建立现代化的物流管理制度</w:t>
      </w:r>
      <w:r>
        <w:rPr>
          <w:rFonts w:hint="eastAsia" w:ascii="楷体_GB2312" w:hAnsi="黑体" w:eastAsia="楷体_GB2312"/>
          <w:b/>
          <w:color w:val="FF0000"/>
          <w:sz w:val="24"/>
        </w:rPr>
        <w:t>（二</w:t>
      </w:r>
      <w:r>
        <w:rPr>
          <w:rFonts w:hint="eastAsia" w:ascii="楷体_GB2312" w:eastAsia="楷体_GB2312"/>
          <w:b/>
          <w:color w:val="FF0000"/>
          <w:sz w:val="24"/>
        </w:rPr>
        <w:t>级标题：两端对齐，字体为小三号黑体字，加粗，行距为</w:t>
      </w:r>
      <w:r>
        <w:rPr>
          <w:rFonts w:hint="eastAsia" w:ascii="楷体_GB2312" w:eastAsia="楷体_GB2312"/>
          <w:b/>
          <w:bCs/>
          <w:color w:val="FF0000"/>
          <w:sz w:val="24"/>
        </w:rPr>
        <w:t>单倍行距，</w:t>
      </w:r>
      <w:r>
        <w:rPr>
          <w:rFonts w:hint="eastAsia" w:ascii="楷体_GB2312" w:eastAsia="楷体_GB2312"/>
          <w:b/>
          <w:color w:val="FF0000"/>
          <w:sz w:val="24"/>
        </w:rPr>
        <w:t>段间距为18磅）</w:t>
      </w:r>
    </w:p>
    <w:p>
      <w:pPr>
        <w:tabs>
          <w:tab w:val="left" w:pos="3128"/>
        </w:tabs>
        <w:spacing w:before="240" w:after="240"/>
        <w:rPr>
          <w:rFonts w:ascii="宋体" w:hAnsi="宋体"/>
          <w:b/>
          <w:bCs/>
          <w:sz w:val="24"/>
          <w:szCs w:val="24"/>
        </w:rPr>
      </w:pPr>
      <w:r>
        <w:rPr>
          <w:rFonts w:hint="eastAsia" w:ascii="宋体" w:hAnsi="宋体"/>
          <w:b/>
          <w:bCs/>
          <w:sz w:val="24"/>
          <w:szCs w:val="24"/>
        </w:rPr>
        <w:t>1、调研岗位、精简流程</w:t>
      </w:r>
      <w:r>
        <w:rPr>
          <w:rFonts w:hint="eastAsia" w:ascii="楷体_GB2312" w:eastAsia="楷体_GB2312"/>
          <w:b/>
          <w:color w:val="FF0000"/>
          <w:sz w:val="24"/>
        </w:rPr>
        <w:t>（三级标题：两端对齐，字体为小四号黑体加粗，文字的行间距为单倍行距，段间距为12磅）</w:t>
      </w:r>
    </w:p>
    <w:p>
      <w:pPr>
        <w:tabs>
          <w:tab w:val="left" w:pos="3128"/>
        </w:tabs>
        <w:spacing w:line="360" w:lineRule="auto"/>
        <w:ind w:firstLine="480" w:firstLineChars="200"/>
        <w:rPr>
          <w:rFonts w:ascii="宋体" w:hAnsi="宋体"/>
          <w:sz w:val="24"/>
          <w:szCs w:val="24"/>
        </w:rPr>
      </w:pPr>
      <w:r>
        <w:rPr>
          <w:rFonts w:hint="eastAsia" w:ascii="宋体" w:hAnsi="宋体"/>
          <w:sz w:val="24"/>
          <w:szCs w:val="24"/>
        </w:rPr>
        <w:t>基于物流运输环节是</w:t>
      </w:r>
      <w:r>
        <w:rPr>
          <w:rFonts w:ascii="宋体" w:hAnsi="宋体"/>
          <w:sz w:val="24"/>
          <w:szCs w:val="24"/>
        </w:rPr>
        <w:t>……</w:t>
      </w:r>
      <w:r>
        <w:rPr>
          <w:rFonts w:hint="eastAsia" w:ascii="楷体_GB2312" w:hAnsi="宋体" w:eastAsia="楷体_GB2312"/>
          <w:b/>
          <w:color w:val="FF0000"/>
          <w:sz w:val="24"/>
        </w:rPr>
        <w:t>（正文部分，首行</w:t>
      </w:r>
      <w:r>
        <w:rPr>
          <w:rFonts w:hint="eastAsia" w:ascii="楷体_GB2312" w:eastAsia="楷体_GB2312"/>
          <w:b/>
          <w:color w:val="FF0000"/>
          <w:sz w:val="24"/>
        </w:rPr>
        <w:t>缩进2字符，字体为小四号宋体，</w:t>
      </w:r>
      <w:r>
        <w:rPr>
          <w:rFonts w:hint="eastAsia" w:ascii="楷体_GB2312" w:hAnsi="宋体" w:eastAsia="楷体_GB2312"/>
          <w:b/>
          <w:color w:val="FF0000"/>
          <w:sz w:val="24"/>
        </w:rPr>
        <w:t>文字的行间距</w:t>
      </w:r>
      <w:r>
        <w:rPr>
          <w:rFonts w:hint="eastAsia" w:ascii="楷体_GB2312" w:eastAsia="楷体_GB2312"/>
          <w:b/>
          <w:color w:val="FF0000"/>
          <w:sz w:val="24"/>
        </w:rPr>
        <w:t>为1.5倍行距，段间距为0</w:t>
      </w:r>
      <w:r>
        <w:rPr>
          <w:rFonts w:hint="eastAsia" w:ascii="楷体_GB2312" w:hAnsi="宋体" w:eastAsia="楷体_GB2312"/>
          <w:b/>
          <w:color w:val="FF0000"/>
          <w:sz w:val="24"/>
        </w:rPr>
        <w:t>）</w:t>
      </w:r>
    </w:p>
    <w:p>
      <w:pPr>
        <w:tabs>
          <w:tab w:val="left" w:pos="3128"/>
        </w:tabs>
        <w:spacing w:before="240" w:after="240"/>
        <w:rPr>
          <w:rFonts w:ascii="宋体" w:hAnsi="宋体"/>
          <w:b/>
          <w:bCs/>
          <w:sz w:val="24"/>
          <w:szCs w:val="24"/>
        </w:rPr>
      </w:pPr>
      <w:r>
        <w:rPr>
          <w:rFonts w:hint="eastAsia" w:ascii="宋体" w:hAnsi="宋体"/>
          <w:b/>
          <w:bCs/>
          <w:sz w:val="24"/>
          <w:szCs w:val="24"/>
        </w:rPr>
        <w:t>2、建立信息共享平台，实现在途货运的可视化跟踪</w:t>
      </w:r>
      <w:r>
        <w:rPr>
          <w:rFonts w:hint="eastAsia" w:ascii="楷体_GB2312" w:eastAsia="楷体_GB2312"/>
          <w:b/>
          <w:color w:val="FF0000"/>
          <w:sz w:val="24"/>
        </w:rPr>
        <w:t>（三级标题：两端对齐，字体为小四号黑体加粗，文字的行间距为单倍行距，段间距为12磅）</w:t>
      </w:r>
    </w:p>
    <w:p>
      <w:pPr>
        <w:tabs>
          <w:tab w:val="left" w:pos="3128"/>
        </w:tabs>
        <w:spacing w:line="360" w:lineRule="auto"/>
        <w:ind w:firstLine="480" w:firstLineChars="200"/>
        <w:rPr>
          <w:rFonts w:ascii="宋体" w:hAnsi="宋体"/>
          <w:sz w:val="24"/>
          <w:szCs w:val="24"/>
        </w:rPr>
      </w:pPr>
      <w:r>
        <w:rPr>
          <w:rFonts w:hint="eastAsia" w:ascii="宋体" w:hAnsi="宋体"/>
          <w:sz w:val="24"/>
          <w:szCs w:val="24"/>
        </w:rPr>
        <w:t>目前因为负责我司货物运</w:t>
      </w:r>
      <w:r>
        <w:rPr>
          <w:rFonts w:ascii="宋体" w:hAnsi="宋体"/>
          <w:sz w:val="24"/>
          <w:szCs w:val="24"/>
        </w:rPr>
        <w:t>……</w:t>
      </w:r>
      <w:r>
        <w:rPr>
          <w:rFonts w:hint="eastAsia" w:ascii="楷体_GB2312" w:hAnsi="宋体" w:eastAsia="楷体_GB2312"/>
          <w:b/>
          <w:color w:val="FF0000"/>
          <w:sz w:val="24"/>
        </w:rPr>
        <w:t>（正文部分，首行</w:t>
      </w:r>
      <w:r>
        <w:rPr>
          <w:rFonts w:hint="eastAsia" w:ascii="楷体_GB2312" w:eastAsia="楷体_GB2312"/>
          <w:b/>
          <w:color w:val="FF0000"/>
          <w:sz w:val="24"/>
        </w:rPr>
        <w:t>缩进2字符，字体为小四号宋体，</w:t>
      </w:r>
      <w:r>
        <w:rPr>
          <w:rFonts w:hint="eastAsia" w:ascii="楷体_GB2312" w:hAnsi="宋体" w:eastAsia="楷体_GB2312"/>
          <w:b/>
          <w:color w:val="FF0000"/>
          <w:sz w:val="24"/>
        </w:rPr>
        <w:t>文字的行间距</w:t>
      </w:r>
      <w:r>
        <w:rPr>
          <w:rFonts w:hint="eastAsia" w:ascii="楷体_GB2312" w:eastAsia="楷体_GB2312"/>
          <w:b/>
          <w:color w:val="FF0000"/>
          <w:sz w:val="24"/>
        </w:rPr>
        <w:t>为1.5倍行距，段间距为0</w:t>
      </w:r>
      <w:r>
        <w:rPr>
          <w:rFonts w:hint="eastAsia" w:ascii="楷体_GB2312" w:hAnsi="宋体" w:eastAsia="楷体_GB2312"/>
          <w:b/>
          <w:color w:val="FF0000"/>
          <w:sz w:val="24"/>
        </w:rPr>
        <w:t>）</w:t>
      </w:r>
    </w:p>
    <w:p>
      <w:pPr>
        <w:tabs>
          <w:tab w:val="left" w:pos="3128"/>
        </w:tabs>
        <w:spacing w:before="240" w:after="240"/>
        <w:rPr>
          <w:rFonts w:ascii="宋体" w:hAnsi="宋体"/>
          <w:b/>
          <w:bCs/>
          <w:sz w:val="24"/>
          <w:szCs w:val="24"/>
        </w:rPr>
      </w:pPr>
      <w:r>
        <w:rPr>
          <w:rFonts w:hint="eastAsia" w:ascii="宋体" w:hAnsi="宋体"/>
          <w:b/>
          <w:bCs/>
          <w:sz w:val="24"/>
          <w:szCs w:val="24"/>
        </w:rPr>
        <w:t>3、引入更多物流公司，建立多元化运输方式</w:t>
      </w:r>
      <w:r>
        <w:rPr>
          <w:rFonts w:hint="eastAsia" w:ascii="楷体_GB2312" w:eastAsia="楷体_GB2312"/>
          <w:b/>
          <w:color w:val="FF0000"/>
          <w:sz w:val="24"/>
        </w:rPr>
        <w:t>（三级标题：两端对齐，字体为小四号黑体加粗，文字的行间距为单倍行距，段间距为12磅）</w:t>
      </w:r>
    </w:p>
    <w:p>
      <w:pPr>
        <w:spacing w:line="360" w:lineRule="auto"/>
        <w:ind w:firstLine="480" w:firstLineChars="200"/>
        <w:rPr>
          <w:rFonts w:ascii="宋体" w:hAnsi="宋体"/>
          <w:b/>
          <w:bCs/>
          <w:sz w:val="24"/>
          <w:szCs w:val="24"/>
        </w:rPr>
      </w:pPr>
      <w:r>
        <w:rPr>
          <w:rFonts w:hint="eastAsia" w:ascii="宋体" w:hAnsi="宋体"/>
          <w:sz w:val="24"/>
          <w:szCs w:val="24"/>
        </w:rPr>
        <w:t>要改善第三方物流公司在自己所</w:t>
      </w:r>
      <w:r>
        <w:rPr>
          <w:rFonts w:ascii="宋体" w:hAnsi="宋体"/>
          <w:sz w:val="24"/>
          <w:szCs w:val="24"/>
        </w:rPr>
        <w:t>……</w:t>
      </w:r>
      <w:r>
        <w:rPr>
          <w:rFonts w:hint="eastAsia" w:ascii="楷体_GB2312" w:hAnsi="宋体" w:eastAsia="楷体_GB2312"/>
          <w:b/>
          <w:color w:val="FF0000"/>
          <w:sz w:val="24"/>
        </w:rPr>
        <w:t>（正文部分，首行</w:t>
      </w:r>
      <w:r>
        <w:rPr>
          <w:rFonts w:hint="eastAsia" w:ascii="楷体_GB2312" w:eastAsia="楷体_GB2312"/>
          <w:b/>
          <w:color w:val="FF0000"/>
          <w:sz w:val="24"/>
        </w:rPr>
        <w:t>缩进2字符，字体为小四号宋体，</w:t>
      </w:r>
      <w:r>
        <w:rPr>
          <w:rFonts w:hint="eastAsia" w:ascii="楷体_GB2312" w:hAnsi="宋体" w:eastAsia="楷体_GB2312"/>
          <w:b/>
          <w:color w:val="FF0000"/>
          <w:sz w:val="24"/>
        </w:rPr>
        <w:t>文字的行间距</w:t>
      </w:r>
      <w:r>
        <w:rPr>
          <w:rFonts w:hint="eastAsia" w:ascii="楷体_GB2312" w:eastAsia="楷体_GB2312"/>
          <w:b/>
          <w:color w:val="FF0000"/>
          <w:sz w:val="24"/>
        </w:rPr>
        <w:t>为1.5倍行距，段间距为0</w:t>
      </w:r>
      <w:r>
        <w:rPr>
          <w:rFonts w:hint="eastAsia" w:ascii="楷体_GB2312" w:hAnsi="宋体" w:eastAsia="楷体_GB2312"/>
          <w:b/>
          <w:color w:val="FF0000"/>
          <w:sz w:val="24"/>
        </w:rPr>
        <w:t>）</w:t>
      </w:r>
    </w:p>
    <w:p>
      <w:pPr>
        <w:snapToGrid w:val="0"/>
        <w:spacing w:before="360" w:after="360"/>
        <w:rPr>
          <w:rFonts w:ascii="黑体" w:hAnsi="黑体" w:eastAsia="黑体"/>
          <w:b/>
          <w:sz w:val="30"/>
          <w:szCs w:val="30"/>
        </w:rPr>
      </w:pPr>
      <w:r>
        <w:rPr>
          <w:rFonts w:hint="eastAsia" w:ascii="黑体" w:hAnsi="黑体" w:eastAsia="黑体"/>
          <w:b/>
          <w:sz w:val="30"/>
          <w:szCs w:val="30"/>
        </w:rPr>
        <w:t>（二） 加强信息化平台建设，全面提升管理水平</w:t>
      </w:r>
      <w:r>
        <w:rPr>
          <w:rFonts w:hint="eastAsia" w:ascii="楷体_GB2312" w:hAnsi="黑体" w:eastAsia="楷体_GB2312"/>
          <w:b/>
          <w:color w:val="FF0000"/>
          <w:sz w:val="24"/>
        </w:rPr>
        <w:t>（二</w:t>
      </w:r>
      <w:r>
        <w:rPr>
          <w:rFonts w:hint="eastAsia" w:ascii="楷体_GB2312" w:eastAsia="楷体_GB2312"/>
          <w:b/>
          <w:color w:val="FF0000"/>
          <w:sz w:val="24"/>
        </w:rPr>
        <w:t>级标题：两端对齐，字体为小三号黑体字，加粗，行距为</w:t>
      </w:r>
      <w:r>
        <w:rPr>
          <w:rFonts w:hint="eastAsia" w:ascii="楷体_GB2312" w:eastAsia="楷体_GB2312"/>
          <w:b/>
          <w:bCs/>
          <w:color w:val="FF0000"/>
          <w:sz w:val="24"/>
        </w:rPr>
        <w:t>单倍行距，</w:t>
      </w:r>
      <w:r>
        <w:rPr>
          <w:rFonts w:hint="eastAsia" w:ascii="楷体_GB2312" w:eastAsia="楷体_GB2312"/>
          <w:b/>
          <w:color w:val="FF0000"/>
          <w:sz w:val="24"/>
        </w:rPr>
        <w:t>段间距为18磅）</w:t>
      </w:r>
    </w:p>
    <w:p>
      <w:pPr>
        <w:tabs>
          <w:tab w:val="left" w:pos="3128"/>
        </w:tabs>
        <w:spacing w:line="360" w:lineRule="auto"/>
        <w:ind w:firstLine="480" w:firstLineChars="200"/>
        <w:rPr>
          <w:rFonts w:ascii="宋体" w:hAnsi="宋体"/>
          <w:sz w:val="24"/>
          <w:szCs w:val="24"/>
        </w:rPr>
      </w:pPr>
      <w:r>
        <w:rPr>
          <w:rFonts w:hint="eastAsia" w:ascii="宋体" w:hAnsi="宋体"/>
          <w:sz w:val="24"/>
          <w:szCs w:val="24"/>
        </w:rPr>
        <w:t>对于我司在部分工作中信息自动化未建立、健全的情况，应该组织运营部信息技术中心对企业相</w:t>
      </w:r>
      <w:r>
        <w:rPr>
          <w:rFonts w:ascii="宋体" w:hAnsi="宋体"/>
          <w:sz w:val="24"/>
          <w:szCs w:val="24"/>
        </w:rPr>
        <w:t>……</w:t>
      </w:r>
      <w:r>
        <w:rPr>
          <w:rFonts w:hint="eastAsia" w:ascii="楷体_GB2312" w:hAnsi="宋体" w:eastAsia="楷体_GB2312"/>
          <w:b/>
          <w:color w:val="FF0000"/>
          <w:sz w:val="24"/>
        </w:rPr>
        <w:t>（首行</w:t>
      </w:r>
      <w:r>
        <w:rPr>
          <w:rFonts w:hint="eastAsia" w:ascii="楷体_GB2312" w:eastAsia="楷体_GB2312"/>
          <w:b/>
          <w:color w:val="FF0000"/>
          <w:sz w:val="24"/>
        </w:rPr>
        <w:t>缩进2字符，字体为小四号宋体，</w:t>
      </w:r>
      <w:r>
        <w:rPr>
          <w:rFonts w:hint="eastAsia" w:ascii="楷体_GB2312" w:hAnsi="宋体" w:eastAsia="楷体_GB2312"/>
          <w:b/>
          <w:color w:val="FF0000"/>
          <w:sz w:val="24"/>
        </w:rPr>
        <w:t>文字的行间距</w:t>
      </w:r>
      <w:r>
        <w:rPr>
          <w:rFonts w:hint="eastAsia" w:ascii="楷体_GB2312" w:eastAsia="楷体_GB2312"/>
          <w:b/>
          <w:color w:val="FF0000"/>
          <w:sz w:val="24"/>
        </w:rPr>
        <w:t>为1.5倍行距，段间距为0</w:t>
      </w:r>
      <w:r>
        <w:rPr>
          <w:rFonts w:hint="eastAsia" w:ascii="楷体_GB2312" w:hAnsi="宋体" w:eastAsia="楷体_GB2312"/>
          <w:b/>
          <w:color w:val="FF0000"/>
          <w:sz w:val="24"/>
        </w:rPr>
        <w:t>）</w:t>
      </w:r>
    </w:p>
    <w:p>
      <w:pPr>
        <w:spacing w:before="360" w:after="360"/>
        <w:rPr>
          <w:rFonts w:ascii="黑体" w:hAnsi="黑体" w:eastAsia="黑体"/>
          <w:b/>
          <w:sz w:val="30"/>
          <w:szCs w:val="30"/>
        </w:rPr>
      </w:pPr>
      <w:r>
        <w:rPr>
          <w:rFonts w:hint="eastAsia" w:ascii="黑体" w:hAnsi="黑体" w:eastAsia="黑体"/>
          <w:b/>
          <w:sz w:val="30"/>
          <w:szCs w:val="30"/>
        </w:rPr>
        <w:t>（三） 建立健全人员管理制度，以人为本提升人员综合素质</w:t>
      </w:r>
      <w:r>
        <w:rPr>
          <w:rFonts w:hint="eastAsia" w:ascii="楷体_GB2312" w:hAnsi="黑体" w:eastAsia="楷体_GB2312"/>
          <w:b/>
          <w:color w:val="FF0000"/>
          <w:sz w:val="24"/>
        </w:rPr>
        <w:t>（二</w:t>
      </w:r>
      <w:r>
        <w:rPr>
          <w:rFonts w:hint="eastAsia" w:ascii="楷体_GB2312" w:eastAsia="楷体_GB2312"/>
          <w:b/>
          <w:color w:val="FF0000"/>
          <w:sz w:val="24"/>
        </w:rPr>
        <w:t>级标题：两端对齐，字体为小三号黑体字，加粗，行距为</w:t>
      </w:r>
      <w:r>
        <w:rPr>
          <w:rFonts w:hint="eastAsia" w:ascii="楷体_GB2312" w:eastAsia="楷体_GB2312"/>
          <w:b/>
          <w:bCs/>
          <w:color w:val="FF0000"/>
          <w:sz w:val="24"/>
        </w:rPr>
        <w:t>单倍行距，</w:t>
      </w:r>
      <w:r>
        <w:rPr>
          <w:rFonts w:hint="eastAsia" w:ascii="楷体_GB2312" w:eastAsia="楷体_GB2312"/>
          <w:b/>
          <w:color w:val="FF0000"/>
          <w:sz w:val="24"/>
        </w:rPr>
        <w:t>段间距为18磅）</w:t>
      </w:r>
    </w:p>
    <w:p>
      <w:pPr>
        <w:tabs>
          <w:tab w:val="left" w:pos="3128"/>
        </w:tabs>
        <w:spacing w:before="240" w:after="240"/>
        <w:rPr>
          <w:rFonts w:ascii="宋体" w:hAnsi="宋体"/>
          <w:b/>
          <w:bCs/>
          <w:sz w:val="24"/>
          <w:szCs w:val="24"/>
        </w:rPr>
      </w:pPr>
      <w:r>
        <w:rPr>
          <w:rFonts w:hint="eastAsia" w:ascii="宋体" w:hAnsi="宋体"/>
          <w:b/>
          <w:bCs/>
          <w:sz w:val="24"/>
          <w:szCs w:val="24"/>
        </w:rPr>
        <w:t>1、企业定期培训，提升员工综合素质</w:t>
      </w:r>
      <w:r>
        <w:rPr>
          <w:rFonts w:hint="eastAsia" w:ascii="楷体_GB2312" w:eastAsia="楷体_GB2312"/>
          <w:b/>
          <w:color w:val="FF0000"/>
          <w:sz w:val="24"/>
        </w:rPr>
        <w:t>（三级标题：两端对齐，字体为小四号黑体加粗，文字的行间距为单倍行距，段间距为12磅）</w:t>
      </w:r>
    </w:p>
    <w:p>
      <w:pPr>
        <w:tabs>
          <w:tab w:val="left" w:pos="3128"/>
        </w:tabs>
        <w:spacing w:line="360" w:lineRule="auto"/>
        <w:ind w:firstLine="480" w:firstLineChars="200"/>
        <w:rPr>
          <w:rFonts w:ascii="宋体" w:hAnsi="宋体"/>
          <w:sz w:val="24"/>
          <w:szCs w:val="24"/>
        </w:rPr>
      </w:pPr>
      <w:r>
        <w:rPr>
          <w:rFonts w:hint="eastAsia" w:ascii="宋体" w:hAnsi="宋体"/>
          <w:sz w:val="24"/>
          <w:szCs w:val="24"/>
        </w:rPr>
        <w:t>对于涉及到物流岗位相关人员</w:t>
      </w:r>
      <w:r>
        <w:rPr>
          <w:rFonts w:ascii="宋体" w:hAnsi="宋体"/>
          <w:sz w:val="24"/>
          <w:szCs w:val="24"/>
        </w:rPr>
        <w:t>……</w:t>
      </w:r>
      <w:r>
        <w:rPr>
          <w:rFonts w:hint="eastAsia" w:ascii="楷体_GB2312" w:hAnsi="宋体" w:eastAsia="楷体_GB2312"/>
          <w:b/>
          <w:color w:val="FF0000"/>
          <w:sz w:val="24"/>
        </w:rPr>
        <w:t>（正文部分，首行</w:t>
      </w:r>
      <w:r>
        <w:rPr>
          <w:rFonts w:hint="eastAsia" w:ascii="楷体_GB2312" w:eastAsia="楷体_GB2312"/>
          <w:b/>
          <w:color w:val="FF0000"/>
          <w:sz w:val="24"/>
        </w:rPr>
        <w:t>缩进2字符，字体为小四号宋体，</w:t>
      </w:r>
      <w:r>
        <w:rPr>
          <w:rFonts w:hint="eastAsia" w:ascii="楷体_GB2312" w:hAnsi="宋体" w:eastAsia="楷体_GB2312"/>
          <w:b/>
          <w:color w:val="FF0000"/>
          <w:sz w:val="24"/>
        </w:rPr>
        <w:t>文字的行间距</w:t>
      </w:r>
      <w:r>
        <w:rPr>
          <w:rFonts w:hint="eastAsia" w:ascii="楷体_GB2312" w:eastAsia="楷体_GB2312"/>
          <w:b/>
          <w:color w:val="FF0000"/>
          <w:sz w:val="24"/>
        </w:rPr>
        <w:t>为1.5倍行距，段间距为0</w:t>
      </w:r>
      <w:r>
        <w:rPr>
          <w:rFonts w:hint="eastAsia" w:ascii="楷体_GB2312" w:hAnsi="宋体" w:eastAsia="楷体_GB2312"/>
          <w:b/>
          <w:color w:val="FF0000"/>
          <w:sz w:val="24"/>
        </w:rPr>
        <w:t>）</w:t>
      </w:r>
    </w:p>
    <w:p>
      <w:pPr>
        <w:tabs>
          <w:tab w:val="left" w:pos="3128"/>
        </w:tabs>
        <w:spacing w:before="240" w:after="240"/>
        <w:rPr>
          <w:rFonts w:ascii="宋体" w:hAnsi="宋体"/>
          <w:b/>
          <w:bCs/>
          <w:sz w:val="24"/>
          <w:szCs w:val="24"/>
        </w:rPr>
      </w:pPr>
      <w:r>
        <w:rPr>
          <w:rFonts w:hint="eastAsia" w:ascii="宋体" w:hAnsi="宋体"/>
          <w:b/>
          <w:bCs/>
          <w:sz w:val="24"/>
          <w:szCs w:val="24"/>
        </w:rPr>
        <w:t>2、引入专业人才、铸造专业团队</w:t>
      </w:r>
      <w:r>
        <w:rPr>
          <w:rFonts w:hint="eastAsia" w:ascii="楷体_GB2312" w:eastAsia="楷体_GB2312"/>
          <w:b/>
          <w:color w:val="FF0000"/>
          <w:sz w:val="24"/>
        </w:rPr>
        <w:t>（三级标题：两端对齐，字体为小四号黑体加粗，文字的行间距为单倍行距，段间距为12磅）</w:t>
      </w:r>
    </w:p>
    <w:p>
      <w:pPr>
        <w:spacing w:line="360" w:lineRule="auto"/>
        <w:ind w:firstLine="420"/>
        <w:rPr>
          <w:rFonts w:ascii="宋体" w:hAnsi="宋体"/>
          <w:sz w:val="24"/>
          <w:szCs w:val="24"/>
        </w:rPr>
      </w:pPr>
      <w:r>
        <w:rPr>
          <w:rFonts w:hint="eastAsia" w:ascii="宋体" w:hAnsi="宋体"/>
          <w:sz w:val="24"/>
          <w:szCs w:val="24"/>
        </w:rPr>
        <w:t>我国物流行业发展起步晚，在较</w:t>
      </w:r>
      <w:r>
        <w:rPr>
          <w:rFonts w:ascii="宋体" w:hAnsi="宋体"/>
          <w:sz w:val="24"/>
          <w:szCs w:val="24"/>
        </w:rPr>
        <w:t>……</w:t>
      </w:r>
      <w:r>
        <w:rPr>
          <w:rFonts w:hint="eastAsia" w:ascii="楷体_GB2312" w:hAnsi="宋体" w:eastAsia="楷体_GB2312"/>
          <w:b/>
          <w:color w:val="FF0000"/>
          <w:sz w:val="24"/>
        </w:rPr>
        <w:t>（正文部分，首行</w:t>
      </w:r>
      <w:r>
        <w:rPr>
          <w:rFonts w:hint="eastAsia" w:ascii="楷体_GB2312" w:eastAsia="楷体_GB2312"/>
          <w:b/>
          <w:color w:val="FF0000"/>
          <w:sz w:val="24"/>
        </w:rPr>
        <w:t>缩进2字符，字体为小四号宋体，</w:t>
      </w:r>
      <w:r>
        <w:rPr>
          <w:rFonts w:hint="eastAsia" w:ascii="楷体_GB2312" w:hAnsi="宋体" w:eastAsia="楷体_GB2312"/>
          <w:b/>
          <w:color w:val="FF0000"/>
          <w:sz w:val="24"/>
        </w:rPr>
        <w:t>文字的行间距</w:t>
      </w:r>
      <w:r>
        <w:rPr>
          <w:rFonts w:hint="eastAsia" w:ascii="楷体_GB2312" w:eastAsia="楷体_GB2312"/>
          <w:b/>
          <w:color w:val="FF0000"/>
          <w:sz w:val="24"/>
        </w:rPr>
        <w:t>为1.5倍行距，段间距为0</w:t>
      </w:r>
      <w:r>
        <w:rPr>
          <w:rFonts w:hint="eastAsia" w:ascii="楷体_GB2312" w:hAnsi="宋体" w:eastAsia="楷体_GB2312"/>
          <w:b/>
          <w:color w:val="FF0000"/>
          <w:sz w:val="24"/>
        </w:rPr>
        <w:t>）</w:t>
      </w:r>
    </w:p>
    <w:p>
      <w:pPr>
        <w:spacing w:line="360" w:lineRule="auto"/>
        <w:ind w:firstLine="420"/>
        <w:rPr>
          <w:rFonts w:ascii="宋体" w:hAnsi="宋体"/>
          <w:sz w:val="24"/>
          <w:szCs w:val="24"/>
        </w:rPr>
      </w:pPr>
    </w:p>
    <w:p>
      <w:pPr>
        <w:spacing w:line="360" w:lineRule="auto"/>
        <w:ind w:firstLine="420"/>
        <w:rPr>
          <w:rFonts w:ascii="宋体" w:hAnsi="宋体"/>
          <w:sz w:val="24"/>
          <w:szCs w:val="24"/>
        </w:rPr>
      </w:pPr>
    </w:p>
    <w:p>
      <w:pPr>
        <w:spacing w:line="360" w:lineRule="auto"/>
        <w:ind w:firstLine="420"/>
        <w:rPr>
          <w:rFonts w:ascii="宋体" w:hAnsi="宋体"/>
          <w:sz w:val="24"/>
          <w:szCs w:val="24"/>
        </w:rPr>
      </w:pPr>
    </w:p>
    <w:p>
      <w:pPr>
        <w:spacing w:line="360" w:lineRule="auto"/>
        <w:ind w:firstLine="420"/>
        <w:rPr>
          <w:rFonts w:ascii="宋体" w:hAnsi="宋体"/>
          <w:sz w:val="24"/>
          <w:szCs w:val="24"/>
        </w:rPr>
      </w:pPr>
    </w:p>
    <w:p>
      <w:pPr>
        <w:spacing w:line="360" w:lineRule="auto"/>
        <w:ind w:firstLine="420"/>
        <w:rPr>
          <w:rFonts w:ascii="宋体" w:hAnsi="宋体"/>
          <w:sz w:val="24"/>
          <w:szCs w:val="24"/>
        </w:rPr>
      </w:pPr>
    </w:p>
    <w:p>
      <w:pPr>
        <w:spacing w:line="360" w:lineRule="auto"/>
        <w:ind w:firstLine="420"/>
        <w:rPr>
          <w:rFonts w:ascii="宋体" w:hAnsi="宋体"/>
          <w:sz w:val="24"/>
          <w:szCs w:val="24"/>
        </w:rPr>
      </w:pPr>
    </w:p>
    <w:p>
      <w:pPr>
        <w:spacing w:line="360" w:lineRule="auto"/>
        <w:ind w:firstLine="420"/>
        <w:rPr>
          <w:rFonts w:ascii="宋体" w:hAnsi="宋体"/>
          <w:sz w:val="24"/>
          <w:szCs w:val="24"/>
        </w:rPr>
      </w:pPr>
    </w:p>
    <w:p>
      <w:pPr>
        <w:spacing w:line="360" w:lineRule="auto"/>
        <w:ind w:firstLine="420"/>
        <w:rPr>
          <w:rFonts w:ascii="宋体" w:hAnsi="宋体"/>
          <w:sz w:val="24"/>
          <w:szCs w:val="24"/>
        </w:rPr>
      </w:pPr>
    </w:p>
    <w:p>
      <w:pPr>
        <w:spacing w:line="360" w:lineRule="auto"/>
        <w:ind w:firstLine="420"/>
        <w:rPr>
          <w:rFonts w:ascii="宋体" w:hAnsi="宋体"/>
          <w:sz w:val="24"/>
          <w:szCs w:val="24"/>
        </w:rPr>
      </w:pPr>
      <w:r>
        <w:rPr>
          <w:rFonts w:ascii="宋体" w:hAnsi="宋体"/>
          <w:sz w:val="24"/>
          <w:szCs w:val="24"/>
        </w:rPr>
        <w:br w:type="page"/>
      </w:r>
    </w:p>
    <w:p>
      <w:pPr>
        <w:tabs>
          <w:tab w:val="left" w:pos="2565"/>
        </w:tabs>
        <w:spacing w:before="480" w:after="480"/>
        <w:jc w:val="center"/>
        <w:rPr>
          <w:rFonts w:ascii="黑体" w:hAnsi="宋体" w:eastAsia="黑体"/>
          <w:b/>
          <w:sz w:val="36"/>
          <w:szCs w:val="36"/>
        </w:rPr>
      </w:pPr>
      <w:r>
        <w:rPr>
          <w:rFonts w:hint="eastAsia" w:ascii="黑体" w:hAnsi="宋体" w:eastAsia="黑体"/>
          <w:b/>
          <w:sz w:val="36"/>
          <w:szCs w:val="36"/>
        </w:rPr>
        <w:t>参考文献</w:t>
      </w:r>
      <w:r>
        <w:rPr>
          <w:rFonts w:hint="eastAsia" w:ascii="黑体" w:hAnsi="宋体" w:eastAsia="黑体"/>
          <w:b/>
          <w:sz w:val="36"/>
          <w:szCs w:val="36"/>
        </w:rPr>
        <mc:AlternateContent>
          <mc:Choice Requires="wps">
            <w:drawing>
              <wp:anchor distT="0" distB="0" distL="114300" distR="114300" simplePos="0" relativeHeight="251662336" behindDoc="0" locked="0" layoutInCell="1" allowOverlap="1">
                <wp:simplePos x="0" y="0"/>
                <wp:positionH relativeFrom="column">
                  <wp:posOffset>3709035</wp:posOffset>
                </wp:positionH>
                <wp:positionV relativeFrom="paragraph">
                  <wp:posOffset>-313690</wp:posOffset>
                </wp:positionV>
                <wp:extent cx="1714500" cy="693420"/>
                <wp:effectExtent l="508635" t="10160" r="15240" b="67945"/>
                <wp:wrapNone/>
                <wp:docPr id="1" name="圆角矩形标注 1"/>
                <wp:cNvGraphicFramePr/>
                <a:graphic xmlns:a="http://schemas.openxmlformats.org/drawingml/2006/main">
                  <a:graphicData uri="http://schemas.microsoft.com/office/word/2010/wordprocessingShape">
                    <wps:wsp>
                      <wps:cNvSpPr>
                        <a:spLocks noChangeArrowheads="1"/>
                      </wps:cNvSpPr>
                      <wps:spPr bwMode="auto">
                        <a:xfrm>
                          <a:off x="0" y="0"/>
                          <a:ext cx="1714500" cy="693420"/>
                        </a:xfrm>
                        <a:prstGeom prst="wedgeRoundRectCallout">
                          <a:avLst>
                            <a:gd name="adj1" fmla="val -76407"/>
                            <a:gd name="adj2" fmla="val 55310"/>
                            <a:gd name="adj3" fmla="val 16667"/>
                          </a:avLst>
                        </a:prstGeom>
                        <a:noFill/>
                        <a:ln w="13970" cmpd="sng">
                          <a:solidFill>
                            <a:srgbClr val="000000"/>
                          </a:solidFill>
                          <a:miter lim="800000"/>
                        </a:ln>
                        <a:effectLst/>
                      </wps:spPr>
                      <wps:txbx>
                        <w:txbxContent>
                          <w:p>
                            <w:pPr>
                              <w:rPr>
                                <w:szCs w:val="48"/>
                              </w:rPr>
                            </w:pPr>
                            <w:r>
                              <w:rPr>
                                <w:rFonts w:hint="eastAsia" w:ascii="楷体_GB2312" w:eastAsia="楷体_GB2312"/>
                                <w:b/>
                                <w:color w:val="FF0000"/>
                                <w:sz w:val="24"/>
                              </w:rPr>
                              <w:t>居中，字体为小二号黑体加粗，行距为</w:t>
                            </w:r>
                            <w:r>
                              <w:rPr>
                                <w:rFonts w:hint="eastAsia" w:eastAsia="仿宋_GB2312"/>
                                <w:b/>
                                <w:bCs/>
                                <w:color w:val="FF0000"/>
                                <w:sz w:val="24"/>
                              </w:rPr>
                              <w:t>单倍行距，</w:t>
                            </w:r>
                            <w:r>
                              <w:rPr>
                                <w:rFonts w:hint="eastAsia" w:ascii="楷体_GB2312" w:eastAsia="楷体_GB2312"/>
                                <w:b/>
                                <w:color w:val="FF0000"/>
                                <w:sz w:val="24"/>
                              </w:rPr>
                              <w:t>段间距为</w:t>
                            </w:r>
                            <w:r>
                              <w:rPr>
                                <w:rFonts w:eastAsia="仿宋_GB2312"/>
                                <w:b/>
                                <w:color w:val="FF0000"/>
                                <w:sz w:val="24"/>
                              </w:rPr>
                              <w:t>24</w:t>
                            </w:r>
                            <w:r>
                              <w:rPr>
                                <w:rFonts w:hint="eastAsia" w:eastAsia="仿宋_GB2312"/>
                                <w:b/>
                                <w:color w:val="FF0000"/>
                                <w:sz w:val="24"/>
                              </w:rPr>
                              <w:t>磅</w:t>
                            </w:r>
                          </w:p>
                        </w:txbxContent>
                      </wps:txbx>
                      <wps:bodyPr rot="0" vert="horz" wrap="square" lIns="7200" tIns="3600" rIns="7200" bIns="10800" anchor="ctr" anchorCtr="0" upright="1">
                        <a:noAutofit/>
                      </wps:bodyPr>
                    </wps:wsp>
                  </a:graphicData>
                </a:graphic>
              </wp:anchor>
            </w:drawing>
          </mc:Choice>
          <mc:Fallback>
            <w:pict>
              <v:shape id="_x0000_s1026" o:spid="_x0000_s1026" o:spt="62" type="#_x0000_t62" style="position:absolute;left:0pt;margin-left:292.05pt;margin-top:-24.7pt;height:54.6pt;width:135pt;z-index:251662336;v-text-anchor:middle;mso-width-relative:page;mso-height-relative:page;" filled="f" stroked="t" coordsize="21600,21600" o:gfxdata="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" adj="-5704,22747,14400">
                <v:fill on="f" focussize="0,0"/>
                <v:stroke weight="1.1pt" color="#000000" miterlimit="8" joinstyle="miter"/>
                <v:imagedata o:title=""/>
                <o:lock v:ext="edit" aspectratio="f"/>
                <v:textbox inset="0.2mm,0.1mm,0.2mm,0.3mm">
                  <w:txbxContent>
                    <w:p>
                      <w:pPr>
                        <w:rPr>
                          <w:szCs w:val="48"/>
                        </w:rPr>
                      </w:pPr>
                      <w:r>
                        <w:rPr>
                          <w:rFonts w:hint="eastAsia" w:ascii="楷体_GB2312" w:eastAsia="楷体_GB2312"/>
                          <w:b/>
                          <w:color w:val="FF0000"/>
                          <w:sz w:val="24"/>
                        </w:rPr>
                        <w:t>居中，字体为小二号黑体加粗，行距为</w:t>
                      </w:r>
                      <w:r>
                        <w:rPr>
                          <w:rFonts w:hint="eastAsia" w:eastAsia="仿宋_GB2312"/>
                          <w:b/>
                          <w:bCs/>
                          <w:color w:val="FF0000"/>
                          <w:sz w:val="24"/>
                        </w:rPr>
                        <w:t>单倍行距，</w:t>
                      </w:r>
                      <w:r>
                        <w:rPr>
                          <w:rFonts w:hint="eastAsia" w:ascii="楷体_GB2312" w:eastAsia="楷体_GB2312"/>
                          <w:b/>
                          <w:color w:val="FF0000"/>
                          <w:sz w:val="24"/>
                        </w:rPr>
                        <w:t>段间距为</w:t>
                      </w:r>
                      <w:r>
                        <w:rPr>
                          <w:rFonts w:eastAsia="仿宋_GB2312"/>
                          <w:b/>
                          <w:color w:val="FF0000"/>
                          <w:sz w:val="24"/>
                        </w:rPr>
                        <w:t>24</w:t>
                      </w:r>
                      <w:r>
                        <w:rPr>
                          <w:rFonts w:hint="eastAsia" w:eastAsia="仿宋_GB2312"/>
                          <w:b/>
                          <w:color w:val="FF0000"/>
                          <w:sz w:val="24"/>
                        </w:rPr>
                        <w:t>磅</w:t>
                      </w:r>
                    </w:p>
                  </w:txbxContent>
                </v:textbox>
              </v:shape>
            </w:pict>
          </mc:Fallback>
        </mc:AlternateContent>
      </w:r>
    </w:p>
    <w:p>
      <w:pPr>
        <w:spacing w:line="360" w:lineRule="auto"/>
        <w:rPr>
          <w:rFonts w:ascii="宋体" w:hAnsi="宋体"/>
          <w:sz w:val="24"/>
        </w:rPr>
      </w:pPr>
      <w:r>
        <w:rPr>
          <w:rFonts w:hint="eastAsia" w:ascii="宋体" w:hAnsi="宋体"/>
          <w:sz w:val="24"/>
        </w:rPr>
        <w:t>[1]田睿.供应链管理模式下物流企业发展存在的问题与对策[J].农村经济与科技,2020,31(08):83-84.</w:t>
      </w:r>
    </w:p>
    <w:p>
      <w:pPr>
        <w:spacing w:line="360" w:lineRule="auto"/>
        <w:rPr>
          <w:rFonts w:ascii="宋体" w:hAnsi="宋体"/>
          <w:sz w:val="24"/>
        </w:rPr>
      </w:pPr>
      <w:r>
        <w:rPr>
          <w:rFonts w:hint="eastAsia" w:ascii="宋体" w:hAnsi="宋体"/>
          <w:sz w:val="24"/>
        </w:rPr>
        <w:t>[</w:t>
      </w:r>
      <w:r>
        <w:rPr>
          <w:rFonts w:ascii="宋体" w:hAnsi="宋体"/>
          <w:sz w:val="24"/>
        </w:rPr>
        <w:t>2</w:t>
      </w:r>
      <w:r>
        <w:rPr>
          <w:rFonts w:hint="eastAsia" w:ascii="宋体" w:hAnsi="宋体"/>
          <w:sz w:val="24"/>
        </w:rPr>
        <w:t xml:space="preserve">]王玉琳.浅析物流与市场营销的关系[J].现代营销(下旬刊),2018(04) </w:t>
      </w:r>
    </w:p>
    <w:p>
      <w:pPr>
        <w:spacing w:line="360" w:lineRule="auto"/>
        <w:rPr>
          <w:rFonts w:ascii="宋体" w:hAnsi="宋体"/>
          <w:sz w:val="24"/>
        </w:rPr>
      </w:pPr>
      <w:r>
        <w:rPr>
          <w:rFonts w:hint="eastAsia" w:ascii="宋体" w:hAnsi="宋体"/>
          <w:sz w:val="24"/>
        </w:rPr>
        <w:t xml:space="preserve">[3]周晓.现代物流管理趋势与发展策略[J].经贸实践,2018(13) </w:t>
      </w:r>
    </w:p>
    <w:p>
      <w:pPr>
        <w:spacing w:line="360" w:lineRule="auto"/>
        <w:rPr>
          <w:rFonts w:ascii="宋体" w:hAnsi="宋体"/>
          <w:sz w:val="24"/>
        </w:rPr>
      </w:pPr>
      <w:r>
        <w:rPr>
          <w:rFonts w:hint="eastAsia" w:ascii="宋体" w:hAnsi="宋体"/>
          <w:sz w:val="24"/>
        </w:rPr>
        <w:t>[</w:t>
      </w:r>
      <w:r>
        <w:rPr>
          <w:rFonts w:ascii="宋体" w:hAnsi="宋体"/>
          <w:sz w:val="24"/>
        </w:rPr>
        <w:t>4</w:t>
      </w:r>
      <w:r>
        <w:rPr>
          <w:rFonts w:hint="eastAsia" w:ascii="宋体" w:hAnsi="宋体"/>
          <w:sz w:val="24"/>
        </w:rPr>
        <w:t>]栗永红.论国际物流管理与多种运输方式的选择和应用[J].物流工程与管理,2018,40(05)</w:t>
      </w:r>
    </w:p>
    <w:p>
      <w:pPr>
        <w:spacing w:line="360" w:lineRule="auto"/>
        <w:rPr>
          <w:rFonts w:ascii="宋体" w:hAnsi="宋体"/>
          <w:sz w:val="24"/>
        </w:rPr>
      </w:pPr>
      <w:r>
        <w:rPr>
          <w:rFonts w:hint="eastAsia" w:ascii="宋体" w:hAnsi="宋体"/>
          <w:sz w:val="24"/>
        </w:rPr>
        <w:t>[</w:t>
      </w:r>
      <w:r>
        <w:rPr>
          <w:rFonts w:ascii="宋体" w:hAnsi="宋体"/>
          <w:sz w:val="24"/>
        </w:rPr>
        <w:t>5</w:t>
      </w:r>
      <w:r>
        <w:rPr>
          <w:rFonts w:hint="eastAsia" w:ascii="宋体" w:hAnsi="宋体"/>
          <w:sz w:val="24"/>
        </w:rPr>
        <w:t xml:space="preserve">]薛海.基于供应链系统下的企业物流管理研究[J].科技经济市场,2018(05) </w:t>
      </w:r>
    </w:p>
    <w:p>
      <w:pPr>
        <w:spacing w:line="360" w:lineRule="auto"/>
        <w:rPr>
          <w:rFonts w:ascii="宋体" w:hAnsi="宋体"/>
          <w:sz w:val="24"/>
        </w:rPr>
      </w:pPr>
      <w:r>
        <w:rPr>
          <w:rFonts w:hint="eastAsia" w:ascii="宋体" w:hAnsi="宋体"/>
          <w:sz w:val="24"/>
        </w:rPr>
        <w:t>[</w:t>
      </w:r>
      <w:r>
        <w:rPr>
          <w:rFonts w:ascii="宋体" w:hAnsi="宋体"/>
          <w:sz w:val="24"/>
        </w:rPr>
        <w:t>6</w:t>
      </w:r>
      <w:r>
        <w:rPr>
          <w:rFonts w:hint="eastAsia" w:ascii="宋体" w:hAnsi="宋体"/>
          <w:sz w:val="24"/>
        </w:rPr>
        <w:t>]李素娟。电子商务与物流问题探析[J].农家参谋，2020,20:138.</w:t>
      </w:r>
    </w:p>
    <w:p>
      <w:pPr>
        <w:spacing w:line="360" w:lineRule="auto"/>
        <w:rPr>
          <w:rFonts w:ascii="宋体" w:hAnsi="宋体"/>
          <w:sz w:val="24"/>
        </w:rPr>
      </w:pPr>
      <w:r>
        <w:rPr>
          <w:rFonts w:hint="eastAsia" w:ascii="宋体" w:hAnsi="宋体"/>
          <w:sz w:val="24"/>
        </w:rPr>
        <w:t>[</w:t>
      </w:r>
      <w:r>
        <w:rPr>
          <w:rFonts w:ascii="宋体" w:hAnsi="宋体"/>
          <w:sz w:val="24"/>
        </w:rPr>
        <w:t>7</w:t>
      </w:r>
      <w:r>
        <w:rPr>
          <w:rFonts w:hint="eastAsia" w:ascii="宋体" w:hAnsi="宋体"/>
          <w:sz w:val="24"/>
        </w:rPr>
        <w:t>]秦宏亮.传统物资管理企业向现代物流企业的转化[J].中国市场,2018(18)</w:t>
      </w:r>
    </w:p>
    <w:p>
      <w:pPr>
        <w:spacing w:line="360" w:lineRule="auto"/>
        <w:rPr>
          <w:rFonts w:ascii="宋体" w:hAnsi="宋体"/>
          <w:sz w:val="24"/>
        </w:rPr>
      </w:pPr>
      <w:r>
        <w:rPr>
          <w:rFonts w:hint="eastAsia" w:ascii="宋体" w:hAnsi="宋体"/>
          <w:sz w:val="24"/>
        </w:rPr>
        <w:t>[</w:t>
      </w:r>
      <w:r>
        <w:rPr>
          <w:rFonts w:ascii="宋体" w:hAnsi="宋体"/>
          <w:sz w:val="24"/>
        </w:rPr>
        <w:t>8</w:t>
      </w:r>
      <w:r>
        <w:rPr>
          <w:rFonts w:hint="eastAsia" w:ascii="宋体" w:hAnsi="宋体"/>
          <w:sz w:val="24"/>
        </w:rPr>
        <w:t>]高岩.有效降低企业物流成本管理的探究[J].物流工程与管理,2018,40(05)</w:t>
      </w:r>
    </w:p>
    <w:p>
      <w:pPr>
        <w:spacing w:line="360" w:lineRule="auto"/>
        <w:rPr>
          <w:rFonts w:ascii="宋体" w:hAnsi="宋体"/>
          <w:sz w:val="24"/>
        </w:rPr>
      </w:pPr>
      <w:r>
        <w:rPr>
          <w:rFonts w:hint="eastAsia" w:ascii="宋体" w:hAnsi="宋体"/>
          <w:sz w:val="24"/>
        </w:rPr>
        <w:t>[</w:t>
      </w:r>
      <w:r>
        <w:rPr>
          <w:rFonts w:ascii="宋体" w:hAnsi="宋体"/>
          <w:sz w:val="24"/>
        </w:rPr>
        <w:t>9</w:t>
      </w:r>
      <w:r>
        <w:rPr>
          <w:rFonts w:hint="eastAsia" w:ascii="宋体" w:hAnsi="宋体"/>
          <w:sz w:val="24"/>
        </w:rPr>
        <w:t>]张云霞.国际贸易环境下物流管理存在的问题与对策[J].现代商业,2020(15):62-63</w:t>
      </w:r>
    </w:p>
    <w:p>
      <w:pPr>
        <w:spacing w:line="360" w:lineRule="auto"/>
        <w:rPr>
          <w:rFonts w:ascii="楷体_GB2312" w:hAnsi="宋体" w:eastAsia="楷体_GB2312"/>
          <w:b/>
          <w:color w:val="FF0000"/>
          <w:sz w:val="24"/>
        </w:rPr>
      </w:pPr>
      <w:r>
        <w:rPr>
          <w:rFonts w:hint="eastAsia" w:ascii="宋体" w:hAnsi="宋体"/>
          <w:sz w:val="24"/>
        </w:rPr>
        <w:t>[1</w:t>
      </w:r>
      <w:r>
        <w:rPr>
          <w:rFonts w:ascii="宋体" w:hAnsi="宋体"/>
          <w:sz w:val="24"/>
        </w:rPr>
        <w:t>0</w:t>
      </w:r>
      <w:r>
        <w:rPr>
          <w:rFonts w:hint="eastAsia" w:ascii="宋体" w:hAnsi="宋体"/>
          <w:sz w:val="24"/>
        </w:rPr>
        <w:t>]刘家烨.企业物流管理信息化问题及措施分析[J].商讯,2020(14):111+113.</w:t>
      </w:r>
      <w:r>
        <w:rPr>
          <w:rFonts w:hint="eastAsia" w:ascii="楷体_GB2312" w:hAnsi="宋体" w:eastAsia="楷体_GB2312"/>
          <w:b/>
          <w:color w:val="FF0000"/>
          <w:sz w:val="24"/>
        </w:rPr>
        <w:t xml:space="preserve"> （参考文献：单独一页，</w:t>
      </w:r>
      <w:r>
        <w:rPr>
          <w:rFonts w:hint="eastAsia" w:ascii="楷体_GB2312" w:eastAsia="楷体_GB2312"/>
          <w:b/>
          <w:color w:val="FF0000"/>
          <w:sz w:val="24"/>
        </w:rPr>
        <w:t>字体为小四号宋体，</w:t>
      </w:r>
      <w:r>
        <w:rPr>
          <w:rFonts w:hint="eastAsia" w:ascii="楷体_GB2312" w:hAnsi="宋体" w:eastAsia="楷体_GB2312"/>
          <w:b/>
          <w:color w:val="FF0000"/>
          <w:sz w:val="24"/>
        </w:rPr>
        <w:t>文字的行间距</w:t>
      </w:r>
      <w:r>
        <w:rPr>
          <w:rFonts w:hint="eastAsia" w:ascii="楷体_GB2312" w:eastAsia="楷体_GB2312"/>
          <w:b/>
          <w:color w:val="FF0000"/>
          <w:sz w:val="24"/>
        </w:rPr>
        <w:t>为1.5倍行距，段间距为0</w:t>
      </w:r>
      <w:r>
        <w:rPr>
          <w:rFonts w:hint="eastAsia" w:ascii="楷体_GB2312" w:hAnsi="宋体" w:eastAsia="楷体_GB2312"/>
          <w:b/>
          <w:color w:val="FF0000"/>
          <w:sz w:val="24"/>
        </w:rPr>
        <w:t>）</w:t>
      </w:r>
    </w:p>
    <w:p>
      <w:pPr>
        <w:spacing w:line="360" w:lineRule="auto"/>
        <w:rPr>
          <w:rFonts w:ascii="宋体" w:hAnsi="宋体"/>
          <w:b/>
          <w:bCs/>
          <w:color w:val="FF0000"/>
          <w:sz w:val="24"/>
        </w:rPr>
      </w:pPr>
      <w:r>
        <w:rPr>
          <w:rFonts w:hint="eastAsia" w:ascii="宋体" w:hAnsi="宋体"/>
          <w:b/>
          <w:bCs/>
          <w:color w:val="FF0000"/>
          <w:sz w:val="24"/>
        </w:rPr>
        <w:t>（非学位论文参考文献不少于10篇，学位论文不少于15篇，且近三年2018-2021年之间的文章不少于50%，尽量不要出现超过5年以上的参考文献!）</w:t>
      </w:r>
    </w:p>
    <w:p>
      <w:pPr>
        <w:spacing w:line="360" w:lineRule="auto"/>
        <w:rPr>
          <w:rFonts w:ascii="宋体" w:hAnsi="宋体"/>
          <w:sz w:val="24"/>
        </w:rPr>
      </w:pPr>
      <w:r>
        <w:rPr>
          <w:rFonts w:hint="eastAsia" w:ascii="宋体" w:hAnsi="宋体"/>
          <w:sz w:val="24"/>
        </w:rPr>
        <w:t xml:space="preserve"> </w:t>
      </w:r>
    </w:p>
    <w:p>
      <w:pPr>
        <w:spacing w:line="360" w:lineRule="auto"/>
        <w:jc w:val="center"/>
        <w:rPr>
          <w:rFonts w:ascii="黑体" w:hAnsi="黑体" w:eastAsia="黑体"/>
          <w:sz w:val="36"/>
          <w:szCs w:val="36"/>
        </w:rPr>
      </w:pPr>
      <w:r>
        <w:rPr>
          <w:rFonts w:hint="eastAsia" w:ascii="黑体" w:hAnsi="黑体" w:eastAsia="黑体"/>
          <w:sz w:val="36"/>
          <w:szCs w:val="36"/>
        </w:rPr>
        <w:t>附录 标题</w:t>
      </w:r>
    </w:p>
    <w:p>
      <w:pPr>
        <w:pStyle w:val="18"/>
        <w:spacing w:line="360" w:lineRule="auto"/>
        <w:ind w:firstLine="643"/>
        <w:rPr>
          <w:rFonts w:ascii="楷体" w:hAnsi="楷体" w:eastAsia="楷体"/>
          <w:b/>
          <w:color w:val="FF0000"/>
          <w:sz w:val="32"/>
          <w:szCs w:val="32"/>
        </w:rPr>
      </w:pPr>
      <w:r>
        <w:rPr>
          <w:rFonts w:hint="eastAsia" w:ascii="楷体_GB2312" w:hAnsi="宋体" w:eastAsia="楷体_GB2312"/>
          <w:b/>
          <w:color w:val="FF0000"/>
          <w:sz w:val="32"/>
          <w:szCs w:val="32"/>
        </w:rPr>
        <w:t>（</w:t>
      </w:r>
      <w:r>
        <w:rPr>
          <w:rFonts w:hint="eastAsia" w:ascii="楷体" w:hAnsi="楷体" w:eastAsia="楷体"/>
          <w:b/>
          <w:color w:val="FF0000"/>
          <w:sz w:val="32"/>
          <w:szCs w:val="32"/>
        </w:rPr>
        <w:t>附录是作为论文主体的补充项目，并不是必须的</w:t>
      </w:r>
      <w:r>
        <w:rPr>
          <w:rFonts w:hint="eastAsia" w:ascii="楷体_GB2312" w:hAnsi="宋体" w:eastAsia="楷体_GB2312"/>
          <w:b/>
          <w:color w:val="FF0000"/>
          <w:sz w:val="32"/>
          <w:szCs w:val="32"/>
        </w:rPr>
        <w:t>）</w:t>
      </w:r>
      <w:r>
        <w:rPr>
          <w:rFonts w:hint="eastAsia" w:ascii="楷体" w:hAnsi="楷体" w:eastAsia="楷体"/>
          <w:b/>
          <w:color w:val="FF0000"/>
          <w:sz w:val="32"/>
          <w:szCs w:val="32"/>
        </w:rPr>
        <w:t>。</w:t>
      </w:r>
    </w:p>
    <w:p>
      <w:pPr>
        <w:spacing w:line="520" w:lineRule="exact"/>
        <w:ind w:firstLine="480" w:firstLineChars="200"/>
        <w:rPr>
          <w:rFonts w:hint="eastAsia" w:ascii="宋体" w:hAnsi="宋体"/>
          <w:sz w:val="24"/>
        </w:rPr>
      </w:pPr>
      <w:r>
        <w:rPr>
          <w:rFonts w:hint="eastAsia"/>
          <w:sz w:val="24"/>
        </w:rPr>
        <w:t>依序编排为附录</w:t>
      </w:r>
      <w:r>
        <w:rPr>
          <w:sz w:val="24"/>
        </w:rPr>
        <w:t>1</w:t>
      </w:r>
      <w:r>
        <w:rPr>
          <w:rFonts w:hint="eastAsia"/>
          <w:sz w:val="24"/>
        </w:rPr>
        <w:t>、附录</w:t>
      </w:r>
      <w:r>
        <w:rPr>
          <w:sz w:val="24"/>
        </w:rPr>
        <w:t>2</w:t>
      </w:r>
      <w:r>
        <w:rPr>
          <w:rFonts w:hint="eastAsia"/>
          <w:sz w:val="24"/>
        </w:rPr>
        <w:t>……。附录中的图表公式另编排序号，与正文分开。</w:t>
      </w:r>
    </w:p>
    <w:p>
      <w:pPr>
        <w:spacing w:line="520" w:lineRule="exact"/>
        <w:ind w:firstLine="602" w:firstLineChars="200"/>
        <w:rPr>
          <w:sz w:val="24"/>
        </w:rPr>
      </w:pPr>
      <w:r>
        <w:rPr>
          <w:rFonts w:hint="eastAsia" w:ascii="宋体" w:hAnsi="宋体"/>
          <w:b/>
          <w:bCs/>
          <w:sz w:val="30"/>
          <w:szCs w:val="30"/>
        </w:rPr>
        <w:t>排版顺序</w:t>
      </w:r>
    </w:p>
    <w:p>
      <w:pPr>
        <w:spacing w:line="540" w:lineRule="exact"/>
        <w:ind w:firstLine="480" w:firstLineChars="200"/>
        <w:jc w:val="left"/>
        <w:rPr>
          <w:sz w:val="24"/>
        </w:rPr>
      </w:pPr>
      <w:r>
        <w:rPr>
          <w:rFonts w:hint="eastAsia"/>
          <w:sz w:val="24"/>
        </w:rPr>
        <w:t>题名页（扉页）</w:t>
      </w:r>
      <w:r>
        <w:rPr>
          <w:sz w:val="24"/>
        </w:rPr>
        <w:t>—</w:t>
      </w:r>
      <w:r>
        <w:rPr>
          <w:rFonts w:hint="eastAsia"/>
          <w:sz w:val="24"/>
        </w:rPr>
        <w:t>原创性声明（打印手签扫描件）</w:t>
      </w:r>
      <w:r>
        <w:rPr>
          <w:sz w:val="24"/>
        </w:rPr>
        <w:t>—</w:t>
      </w:r>
      <w:r>
        <w:rPr>
          <w:rFonts w:hint="eastAsia"/>
          <w:sz w:val="24"/>
        </w:rPr>
        <w:t>目录</w:t>
      </w:r>
      <w:r>
        <w:rPr>
          <w:sz w:val="24"/>
        </w:rPr>
        <w:t>—</w:t>
      </w:r>
      <w:r>
        <w:rPr>
          <w:rFonts w:hint="eastAsia"/>
          <w:sz w:val="24"/>
        </w:rPr>
        <w:t>摘要</w:t>
      </w:r>
      <w:r>
        <w:rPr>
          <w:sz w:val="24"/>
        </w:rPr>
        <w:t>—</w:t>
      </w:r>
      <w:r>
        <w:rPr>
          <w:rFonts w:hint="eastAsia"/>
          <w:sz w:val="24"/>
        </w:rPr>
        <w:t>正文</w:t>
      </w:r>
      <w:r>
        <w:rPr>
          <w:sz w:val="24"/>
        </w:rPr>
        <w:t>—</w:t>
      </w:r>
      <w:r>
        <w:rPr>
          <w:rFonts w:hint="eastAsia"/>
          <w:sz w:val="24"/>
        </w:rPr>
        <w:t>参考文献</w:t>
      </w:r>
    </w:p>
    <w:tbl>
      <w:tblPr>
        <w:tblStyle w:val="7"/>
        <w:tblW w:w="0" w:type="auto"/>
        <w:tblInd w:w="108" w:type="dxa"/>
        <w:tblLayout w:type="fixed"/>
        <w:tblCellMar>
          <w:top w:w="0" w:type="dxa"/>
          <w:left w:w="108" w:type="dxa"/>
          <w:bottom w:w="0" w:type="dxa"/>
          <w:right w:w="108" w:type="dxa"/>
        </w:tblCellMar>
      </w:tblPr>
      <w:tblGrid>
        <w:gridCol w:w="7938"/>
        <w:gridCol w:w="4874"/>
      </w:tblGrid>
      <w:tr>
        <w:tblPrEx>
          <w:tblCellMar>
            <w:top w:w="0" w:type="dxa"/>
            <w:left w:w="108" w:type="dxa"/>
            <w:bottom w:w="0" w:type="dxa"/>
            <w:right w:w="108" w:type="dxa"/>
          </w:tblCellMar>
        </w:tblPrEx>
        <w:trPr>
          <w:gridAfter w:val="1"/>
          <w:wAfter w:w="4874" w:type="dxa"/>
          <w:trHeight w:val="450" w:hRule="atLeast"/>
        </w:trPr>
        <w:tc>
          <w:tcPr>
            <w:tcW w:w="7938" w:type="dxa"/>
            <w:tcBorders>
              <w:top w:val="nil"/>
              <w:left w:val="nil"/>
              <w:bottom w:val="nil"/>
              <w:right w:val="nil"/>
            </w:tcBorders>
            <w:vAlign w:val="bottom"/>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2070" w:hRule="atLeast"/>
        </w:trPr>
        <w:tc>
          <w:tcPr>
            <w:tcW w:w="12812" w:type="dxa"/>
            <w:gridSpan w:val="2"/>
            <w:tcBorders>
              <w:top w:val="nil"/>
              <w:left w:val="nil"/>
              <w:bottom w:val="nil"/>
              <w:right w:val="nil"/>
            </w:tcBorders>
            <w:vAlign w:val="bottom"/>
          </w:tcPr>
          <w:p>
            <w:pPr>
              <w:widowControl/>
              <w:jc w:val="left"/>
              <w:rPr>
                <w:rFonts w:ascii="Times New Roman" w:hAnsi="Times New Roman"/>
                <w:kern w:val="0"/>
                <w:sz w:val="20"/>
                <w:szCs w:val="20"/>
              </w:rPr>
            </w:pPr>
          </w:p>
        </w:tc>
      </w:tr>
      <w:tr>
        <w:tblPrEx>
          <w:tblCellMar>
            <w:top w:w="0" w:type="dxa"/>
            <w:left w:w="108" w:type="dxa"/>
            <w:bottom w:w="0" w:type="dxa"/>
            <w:right w:w="108" w:type="dxa"/>
          </w:tblCellMar>
        </w:tblPrEx>
        <w:trPr>
          <w:gridAfter w:val="1"/>
          <w:wAfter w:w="4874" w:type="dxa"/>
          <w:trHeight w:val="795" w:hRule="atLeast"/>
        </w:trPr>
        <w:tc>
          <w:tcPr>
            <w:tcW w:w="7938" w:type="dxa"/>
            <w:tcBorders>
              <w:top w:val="nil"/>
              <w:left w:val="nil"/>
              <w:bottom w:val="nil"/>
              <w:right w:val="nil"/>
            </w:tcBorders>
            <w:vAlign w:val="bottom"/>
          </w:tcPr>
          <w:p>
            <w:pPr>
              <w:widowControl/>
              <w:jc w:val="center"/>
              <w:rPr>
                <w:rFonts w:ascii="宋体" w:hAnsi="宋体" w:cs="宋体"/>
                <w:b/>
                <w:bCs/>
                <w:kern w:val="0"/>
                <w:sz w:val="56"/>
                <w:szCs w:val="56"/>
              </w:rPr>
            </w:pPr>
            <w:r>
              <w:rPr>
                <w:rFonts w:hint="eastAsia" w:ascii="宋体" w:hAnsi="宋体" w:cs="宋体"/>
                <w:b/>
                <w:bCs/>
                <w:kern w:val="0"/>
                <w:sz w:val="56"/>
                <w:szCs w:val="56"/>
              </w:rPr>
              <w:t>国家开放大学</w:t>
            </w:r>
          </w:p>
        </w:tc>
      </w:tr>
      <w:tr>
        <w:tblPrEx>
          <w:tblCellMar>
            <w:top w:w="0" w:type="dxa"/>
            <w:left w:w="108" w:type="dxa"/>
            <w:bottom w:w="0" w:type="dxa"/>
            <w:right w:w="108" w:type="dxa"/>
          </w:tblCellMar>
        </w:tblPrEx>
        <w:trPr>
          <w:gridAfter w:val="1"/>
          <w:wAfter w:w="4874" w:type="dxa"/>
          <w:trHeight w:val="1050" w:hRule="atLeast"/>
        </w:trPr>
        <w:tc>
          <w:tcPr>
            <w:tcW w:w="7938" w:type="dxa"/>
            <w:tcBorders>
              <w:top w:val="nil"/>
              <w:left w:val="nil"/>
              <w:bottom w:val="nil"/>
              <w:right w:val="nil"/>
            </w:tcBorders>
            <w:vAlign w:val="bottom"/>
          </w:tcPr>
          <w:p>
            <w:pPr>
              <w:widowControl/>
              <w:jc w:val="center"/>
              <w:rPr>
                <w:rFonts w:ascii="宋体" w:hAnsi="宋体" w:cs="宋体"/>
                <w:b/>
                <w:bCs/>
                <w:kern w:val="0"/>
                <w:sz w:val="56"/>
                <w:szCs w:val="56"/>
              </w:rPr>
            </w:pPr>
            <w:r>
              <w:rPr>
                <w:rFonts w:hint="eastAsia" w:ascii="宋体" w:hAnsi="宋体" w:cs="宋体"/>
                <w:b/>
                <w:bCs/>
                <w:kern w:val="0"/>
                <w:sz w:val="56"/>
                <w:szCs w:val="56"/>
              </w:rPr>
              <w:t>本科毕业论文评审表</w:t>
            </w:r>
          </w:p>
        </w:tc>
      </w:tr>
      <w:tr>
        <w:tblPrEx>
          <w:tblCellMar>
            <w:top w:w="0" w:type="dxa"/>
            <w:left w:w="108" w:type="dxa"/>
            <w:bottom w:w="0" w:type="dxa"/>
            <w:right w:w="108" w:type="dxa"/>
          </w:tblCellMar>
        </w:tblPrEx>
        <w:trPr>
          <w:trHeight w:val="1425" w:hRule="atLeast"/>
        </w:trPr>
        <w:tc>
          <w:tcPr>
            <w:tcW w:w="12812" w:type="dxa"/>
            <w:gridSpan w:val="2"/>
            <w:tcBorders>
              <w:top w:val="nil"/>
              <w:left w:val="nil"/>
              <w:bottom w:val="nil"/>
              <w:right w:val="nil"/>
            </w:tcBorders>
            <w:vAlign w:val="bottom"/>
          </w:tcPr>
          <w:tbl>
            <w:tblPr>
              <w:tblStyle w:val="7"/>
              <w:tblW w:w="0" w:type="auto"/>
              <w:tblInd w:w="0" w:type="dxa"/>
              <w:tblLayout w:type="fixed"/>
              <w:tblCellMar>
                <w:top w:w="0" w:type="dxa"/>
                <w:left w:w="108" w:type="dxa"/>
                <w:bottom w:w="0" w:type="dxa"/>
                <w:right w:w="108" w:type="dxa"/>
              </w:tblCellMar>
            </w:tblPr>
            <w:tblGrid>
              <w:gridCol w:w="1300"/>
              <w:gridCol w:w="6820"/>
            </w:tblGrid>
            <w:tr>
              <w:tblPrEx>
                <w:tblCellMar>
                  <w:top w:w="0" w:type="dxa"/>
                  <w:left w:w="108" w:type="dxa"/>
                  <w:bottom w:w="0" w:type="dxa"/>
                  <w:right w:w="108" w:type="dxa"/>
                </w:tblCellMar>
              </w:tblPrEx>
              <w:trPr>
                <w:trHeight w:val="1425" w:hRule="atLeast"/>
              </w:trPr>
              <w:tc>
                <w:tcPr>
                  <w:tcW w:w="1300" w:type="dxa"/>
                  <w:tcBorders>
                    <w:top w:val="nil"/>
                    <w:left w:val="nil"/>
                    <w:bottom w:val="nil"/>
                    <w:right w:val="nil"/>
                  </w:tcBorders>
                  <w:vAlign w:val="bottom"/>
                </w:tcPr>
                <w:p>
                  <w:pPr>
                    <w:widowControl/>
                    <w:rPr>
                      <w:rFonts w:ascii="黑体" w:hAnsi="黑体" w:eastAsia="黑体" w:cs="宋体"/>
                      <w:kern w:val="0"/>
                      <w:sz w:val="32"/>
                      <w:szCs w:val="32"/>
                    </w:rPr>
                  </w:pPr>
                  <w:r>
                    <w:rPr>
                      <w:rFonts w:hint="eastAsia" w:ascii="黑体" w:hAnsi="黑体" w:eastAsia="黑体" w:cs="宋体"/>
                      <w:kern w:val="0"/>
                      <w:sz w:val="32"/>
                      <w:szCs w:val="32"/>
                    </w:rPr>
                    <w:t>题  目</w:t>
                  </w:r>
                </w:p>
              </w:tc>
              <w:tc>
                <w:tcPr>
                  <w:tcW w:w="6820" w:type="dxa"/>
                  <w:tcBorders>
                    <w:top w:val="nil"/>
                    <w:left w:val="nil"/>
                    <w:bottom w:val="single" w:color="auto" w:sz="4" w:space="0"/>
                    <w:right w:val="nil"/>
                  </w:tcBorders>
                  <w:vAlign w:val="bottom"/>
                </w:tcPr>
                <w:p>
                  <w:pPr>
                    <w:widowControl/>
                    <w:jc w:val="left"/>
                    <w:rPr>
                      <w:rFonts w:ascii="宋体" w:hAnsi="宋体" w:cs="宋体"/>
                      <w:kern w:val="0"/>
                      <w:sz w:val="32"/>
                      <w:szCs w:val="32"/>
                    </w:rPr>
                  </w:pPr>
                  <w:r>
                    <w:rPr>
                      <w:rFonts w:hint="eastAsia" w:ascii="宋体" w:hAnsi="宋体" w:cs="宋体"/>
                      <w:kern w:val="0"/>
                      <w:sz w:val="32"/>
                      <w:szCs w:val="32"/>
                    </w:rPr>
                    <w:t>　</w:t>
                  </w:r>
                </w:p>
                <w:p>
                  <w:pPr>
                    <w:widowControl/>
                    <w:jc w:val="left"/>
                    <w:rPr>
                      <w:rFonts w:ascii="宋体" w:hAnsi="宋体" w:cs="宋体"/>
                      <w:kern w:val="0"/>
                      <w:sz w:val="24"/>
                      <w:szCs w:val="24"/>
                    </w:rPr>
                  </w:pPr>
                  <w:r>
                    <w:rPr>
                      <w:rFonts w:hint="eastAsia" w:ascii="宋体" w:hAnsi="宋体" w:cs="宋体"/>
                      <w:kern w:val="0"/>
                      <w:sz w:val="24"/>
                      <w:szCs w:val="24"/>
                    </w:rPr>
                    <w:t>　</w:t>
                  </w:r>
                </w:p>
                <w:p>
                  <w:pPr>
                    <w:widowControl/>
                    <w:jc w:val="left"/>
                    <w:rPr>
                      <w:rFonts w:ascii="宋体" w:hAnsi="宋体" w:cs="宋体"/>
                      <w:kern w:val="0"/>
                      <w:sz w:val="24"/>
                      <w:szCs w:val="24"/>
                    </w:rPr>
                  </w:pPr>
                  <w:r>
                    <w:rPr>
                      <w:rFonts w:hint="eastAsia" w:ascii="宋体" w:hAnsi="宋体" w:cs="宋体"/>
                      <w:kern w:val="0"/>
                      <w:sz w:val="24"/>
                      <w:szCs w:val="24"/>
                    </w:rPr>
                    <w:t>　</w:t>
                  </w:r>
                </w:p>
              </w:tc>
            </w:tr>
          </w:tbl>
          <w:p>
            <w:pPr>
              <w:widowControl/>
              <w:jc w:val="center"/>
              <w:rPr>
                <w:rFonts w:ascii="宋体" w:hAnsi="宋体" w:cs="宋体"/>
                <w:b/>
                <w:bCs/>
                <w:kern w:val="0"/>
                <w:sz w:val="56"/>
                <w:szCs w:val="56"/>
              </w:rPr>
            </w:pPr>
          </w:p>
        </w:tc>
      </w:tr>
      <w:tr>
        <w:tblPrEx>
          <w:tblCellMar>
            <w:top w:w="0" w:type="dxa"/>
            <w:left w:w="108" w:type="dxa"/>
            <w:bottom w:w="0" w:type="dxa"/>
            <w:right w:w="108" w:type="dxa"/>
          </w:tblCellMar>
        </w:tblPrEx>
        <w:trPr>
          <w:trHeight w:val="1380" w:hRule="atLeast"/>
        </w:trPr>
        <w:tc>
          <w:tcPr>
            <w:tcW w:w="12812" w:type="dxa"/>
            <w:gridSpan w:val="2"/>
            <w:tcBorders>
              <w:top w:val="nil"/>
              <w:left w:val="nil"/>
              <w:bottom w:val="nil"/>
              <w:right w:val="nil"/>
            </w:tcBorders>
            <w:vAlign w:val="bottom"/>
          </w:tcPr>
          <w:p>
            <w:pPr>
              <w:widowControl/>
              <w:rPr>
                <w:rFonts w:ascii="Times New Roman" w:hAnsi="Times New Roman"/>
                <w:kern w:val="0"/>
                <w:sz w:val="20"/>
                <w:szCs w:val="20"/>
                <w:u w:val="single"/>
              </w:rPr>
            </w:pPr>
            <w:r>
              <w:rPr>
                <w:rFonts w:ascii="Times New Roman" w:hAnsi="Times New Roman"/>
                <w:kern w:val="0"/>
                <w:sz w:val="20"/>
                <w:szCs w:val="20"/>
              </w:rPr>
              <w:t xml:space="preserve">  </w:t>
            </w:r>
            <w:r>
              <w:rPr>
                <w:rFonts w:hint="eastAsia" w:ascii="Times New Roman" w:hAnsi="Times New Roman"/>
                <w:kern w:val="0"/>
                <w:sz w:val="20"/>
                <w:szCs w:val="20"/>
              </w:rPr>
              <w:t xml:space="preserve">      </w:t>
            </w:r>
            <w:r>
              <w:rPr>
                <w:rFonts w:ascii="Times New Roman" w:hAnsi="Times New Roman"/>
                <w:kern w:val="0"/>
                <w:sz w:val="20"/>
                <w:szCs w:val="20"/>
              </w:rPr>
              <w:t xml:space="preserve">     </w:t>
            </w:r>
            <w:r>
              <w:rPr>
                <w:rFonts w:ascii="Times New Roman" w:hAnsi="Times New Roman"/>
                <w:kern w:val="0"/>
                <w:sz w:val="20"/>
                <w:szCs w:val="20"/>
                <w:u w:val="single"/>
              </w:rPr>
              <w:t xml:space="preserve">                                                                    </w:t>
            </w:r>
          </w:p>
        </w:tc>
      </w:tr>
      <w:tr>
        <w:trPr>
          <w:trHeight w:val="660" w:hRule="atLeast"/>
        </w:trPr>
        <w:tc>
          <w:tcPr>
            <w:tcW w:w="12812" w:type="dxa"/>
            <w:gridSpan w:val="2"/>
            <w:tcBorders>
              <w:top w:val="nil"/>
              <w:left w:val="nil"/>
              <w:bottom w:val="nil"/>
              <w:right w:val="nil"/>
            </w:tcBorders>
            <w:vAlign w:val="bottom"/>
          </w:tcPr>
          <w:tbl>
            <w:tblPr>
              <w:tblStyle w:val="7"/>
              <w:tblW w:w="0" w:type="auto"/>
              <w:tblInd w:w="0" w:type="dxa"/>
              <w:tblLayout w:type="fixed"/>
              <w:tblCellMar>
                <w:top w:w="0" w:type="dxa"/>
                <w:left w:w="108" w:type="dxa"/>
                <w:bottom w:w="0" w:type="dxa"/>
                <w:right w:w="108" w:type="dxa"/>
              </w:tblCellMar>
            </w:tblPr>
            <w:tblGrid>
              <w:gridCol w:w="1300"/>
              <w:gridCol w:w="2800"/>
              <w:gridCol w:w="1200"/>
              <w:gridCol w:w="2820"/>
            </w:tblGrid>
            <w:tr>
              <w:tblPrEx>
                <w:tblCellMar>
                  <w:top w:w="0" w:type="dxa"/>
                  <w:left w:w="108" w:type="dxa"/>
                  <w:bottom w:w="0" w:type="dxa"/>
                  <w:right w:w="108" w:type="dxa"/>
                </w:tblCellMar>
              </w:tblPrEx>
              <w:trPr>
                <w:trHeight w:val="1200" w:hRule="atLeast"/>
              </w:trPr>
              <w:tc>
                <w:tcPr>
                  <w:tcW w:w="1300" w:type="dxa"/>
                  <w:tcBorders>
                    <w:top w:val="nil"/>
                    <w:left w:val="nil"/>
                    <w:bottom w:val="nil"/>
                    <w:right w:val="nil"/>
                  </w:tcBorders>
                  <w:vAlign w:val="bottom"/>
                </w:tcPr>
                <w:p>
                  <w:pPr>
                    <w:widowControl/>
                    <w:rPr>
                      <w:rFonts w:ascii="宋体" w:hAnsi="宋体" w:cs="宋体"/>
                      <w:kern w:val="0"/>
                      <w:sz w:val="24"/>
                      <w:szCs w:val="24"/>
                    </w:rPr>
                  </w:pPr>
                  <w:r>
                    <w:rPr>
                      <w:rFonts w:hint="eastAsia" w:ascii="宋体" w:hAnsi="宋体" w:cs="宋体"/>
                      <w:kern w:val="0"/>
                      <w:sz w:val="24"/>
                      <w:szCs w:val="24"/>
                    </w:rPr>
                    <w:t>姓名</w:t>
                  </w:r>
                </w:p>
              </w:tc>
              <w:tc>
                <w:tcPr>
                  <w:tcW w:w="2800" w:type="dxa"/>
                  <w:tcBorders>
                    <w:top w:val="nil"/>
                    <w:left w:val="nil"/>
                    <w:bottom w:val="single" w:color="auto" w:sz="4" w:space="0"/>
                    <w:right w:val="nil"/>
                  </w:tcBorders>
                  <w:vAlign w:val="bottom"/>
                </w:tcPr>
                <w:p>
                  <w:pPr>
                    <w:widowControl/>
                    <w:jc w:val="left"/>
                    <w:rPr>
                      <w:rFonts w:ascii="宋体" w:hAnsi="宋体" w:cs="宋体"/>
                      <w:kern w:val="0"/>
                      <w:sz w:val="24"/>
                      <w:szCs w:val="24"/>
                    </w:rPr>
                  </w:pPr>
                  <w:r>
                    <w:rPr>
                      <w:rFonts w:hint="eastAsia" w:ascii="宋体" w:hAnsi="宋体" w:cs="宋体"/>
                      <w:kern w:val="0"/>
                      <w:sz w:val="24"/>
                      <w:szCs w:val="24"/>
                    </w:rPr>
                    <w:t>　</w:t>
                  </w:r>
                </w:p>
              </w:tc>
              <w:tc>
                <w:tcPr>
                  <w:tcW w:w="1200" w:type="dxa"/>
                  <w:tcBorders>
                    <w:top w:val="nil"/>
                    <w:left w:val="nil"/>
                    <w:bottom w:val="nil"/>
                    <w:right w:val="nil"/>
                  </w:tcBorders>
                  <w:vAlign w:val="bottom"/>
                </w:tcPr>
                <w:p>
                  <w:pPr>
                    <w:widowControl/>
                    <w:rPr>
                      <w:rFonts w:ascii="宋体" w:hAnsi="宋体" w:cs="宋体"/>
                      <w:kern w:val="0"/>
                      <w:sz w:val="24"/>
                      <w:szCs w:val="24"/>
                    </w:rPr>
                  </w:pPr>
                  <w:r>
                    <w:rPr>
                      <w:rFonts w:hint="eastAsia" w:ascii="宋体" w:hAnsi="宋体" w:cs="宋体"/>
                      <w:kern w:val="0"/>
                      <w:sz w:val="24"/>
                      <w:szCs w:val="24"/>
                    </w:rPr>
                    <w:t>教育层次</w:t>
                  </w:r>
                </w:p>
              </w:tc>
              <w:tc>
                <w:tcPr>
                  <w:tcW w:w="2820" w:type="dxa"/>
                  <w:tcBorders>
                    <w:top w:val="nil"/>
                    <w:left w:val="nil"/>
                    <w:bottom w:val="single" w:color="auto" w:sz="4" w:space="0"/>
                    <w:right w:val="nil"/>
                  </w:tcBorders>
                  <w:vAlign w:val="bottom"/>
                </w:tcPr>
                <w:p>
                  <w:pPr>
                    <w:widowControl/>
                    <w:jc w:val="left"/>
                    <w:rPr>
                      <w:rFonts w:ascii="宋体" w:hAnsi="宋体" w:cs="宋体"/>
                      <w:kern w:val="0"/>
                      <w:sz w:val="24"/>
                      <w:szCs w:val="24"/>
                    </w:rPr>
                  </w:pPr>
                  <w:r>
                    <w:rPr>
                      <w:rFonts w:hint="eastAsia" w:ascii="宋体" w:hAnsi="宋体" w:cs="宋体"/>
                      <w:kern w:val="0"/>
                      <w:sz w:val="24"/>
                      <w:szCs w:val="24"/>
                    </w:rPr>
                    <w:t>　本科</w:t>
                  </w:r>
                </w:p>
              </w:tc>
            </w:tr>
            <w:tr>
              <w:tblPrEx>
                <w:tblCellMar>
                  <w:top w:w="0" w:type="dxa"/>
                  <w:left w:w="108" w:type="dxa"/>
                  <w:bottom w:w="0" w:type="dxa"/>
                  <w:right w:w="108" w:type="dxa"/>
                </w:tblCellMar>
              </w:tblPrEx>
              <w:trPr>
                <w:trHeight w:val="1200" w:hRule="atLeast"/>
              </w:trPr>
              <w:tc>
                <w:tcPr>
                  <w:tcW w:w="1300" w:type="dxa"/>
                  <w:tcBorders>
                    <w:top w:val="nil"/>
                    <w:left w:val="nil"/>
                    <w:bottom w:val="nil"/>
                    <w:right w:val="nil"/>
                  </w:tcBorders>
                  <w:vAlign w:val="bottom"/>
                </w:tcPr>
                <w:p>
                  <w:pPr>
                    <w:widowControl/>
                    <w:rPr>
                      <w:rFonts w:ascii="宋体" w:hAnsi="宋体" w:cs="宋体"/>
                      <w:kern w:val="0"/>
                      <w:sz w:val="24"/>
                      <w:szCs w:val="24"/>
                    </w:rPr>
                  </w:pPr>
                  <w:r>
                    <w:rPr>
                      <w:rFonts w:hint="eastAsia" w:ascii="宋体" w:hAnsi="宋体" w:cs="宋体"/>
                      <w:kern w:val="0"/>
                      <w:sz w:val="24"/>
                      <w:szCs w:val="24"/>
                    </w:rPr>
                    <w:t>学号</w:t>
                  </w:r>
                </w:p>
              </w:tc>
              <w:tc>
                <w:tcPr>
                  <w:tcW w:w="2800" w:type="dxa"/>
                  <w:tcBorders>
                    <w:top w:val="nil"/>
                    <w:left w:val="nil"/>
                    <w:bottom w:val="single" w:color="auto" w:sz="4" w:space="0"/>
                    <w:right w:val="nil"/>
                  </w:tcBorders>
                  <w:vAlign w:val="bottom"/>
                </w:tcPr>
                <w:p>
                  <w:pPr>
                    <w:widowControl/>
                    <w:jc w:val="left"/>
                    <w:rPr>
                      <w:rFonts w:ascii="宋体" w:hAnsi="宋体" w:cs="宋体"/>
                      <w:kern w:val="0"/>
                      <w:sz w:val="24"/>
                      <w:szCs w:val="24"/>
                    </w:rPr>
                  </w:pPr>
                  <w:r>
                    <w:rPr>
                      <w:rFonts w:hint="eastAsia" w:ascii="宋体" w:hAnsi="宋体" w:cs="宋体"/>
                      <w:kern w:val="0"/>
                      <w:sz w:val="24"/>
                      <w:szCs w:val="24"/>
                    </w:rPr>
                    <w:t>　</w:t>
                  </w:r>
                </w:p>
              </w:tc>
              <w:tc>
                <w:tcPr>
                  <w:tcW w:w="1200" w:type="dxa"/>
                  <w:tcBorders>
                    <w:top w:val="nil"/>
                    <w:left w:val="nil"/>
                    <w:bottom w:val="nil"/>
                    <w:right w:val="nil"/>
                  </w:tcBorders>
                  <w:vAlign w:val="bottom"/>
                </w:tcPr>
                <w:p>
                  <w:pPr>
                    <w:widowControl/>
                    <w:rPr>
                      <w:rFonts w:ascii="宋体" w:hAnsi="宋体" w:cs="宋体"/>
                      <w:kern w:val="0"/>
                      <w:sz w:val="24"/>
                      <w:szCs w:val="24"/>
                    </w:rPr>
                  </w:pPr>
                  <w:r>
                    <w:rPr>
                      <w:rFonts w:hint="eastAsia" w:ascii="宋体" w:hAnsi="宋体" w:cs="宋体"/>
                      <w:kern w:val="0"/>
                      <w:sz w:val="24"/>
                      <w:szCs w:val="24"/>
                    </w:rPr>
                    <w:t>分    部</w:t>
                  </w:r>
                </w:p>
              </w:tc>
              <w:tc>
                <w:tcPr>
                  <w:tcW w:w="2820" w:type="dxa"/>
                  <w:tcBorders>
                    <w:top w:val="nil"/>
                    <w:left w:val="nil"/>
                    <w:bottom w:val="single" w:color="auto" w:sz="4" w:space="0"/>
                    <w:right w:val="nil"/>
                  </w:tcBorders>
                  <w:vAlign w:val="bottom"/>
                </w:tcPr>
                <w:p>
                  <w:pPr>
                    <w:widowControl/>
                    <w:jc w:val="left"/>
                    <w:rPr>
                      <w:rFonts w:ascii="宋体" w:hAnsi="宋体" w:cs="宋体"/>
                      <w:kern w:val="0"/>
                      <w:sz w:val="24"/>
                      <w:szCs w:val="24"/>
                    </w:rPr>
                  </w:pPr>
                  <w:r>
                    <w:rPr>
                      <w:rFonts w:hint="eastAsia" w:ascii="宋体" w:hAnsi="宋体" w:cs="宋体"/>
                      <w:kern w:val="0"/>
                      <w:sz w:val="24"/>
                      <w:szCs w:val="24"/>
                    </w:rPr>
                    <w:t>　国开广东分部</w:t>
                  </w:r>
                </w:p>
              </w:tc>
            </w:tr>
            <w:tr>
              <w:tblPrEx>
                <w:tblCellMar>
                  <w:top w:w="0" w:type="dxa"/>
                  <w:left w:w="108" w:type="dxa"/>
                  <w:bottom w:w="0" w:type="dxa"/>
                  <w:right w:w="108" w:type="dxa"/>
                </w:tblCellMar>
              </w:tblPrEx>
              <w:trPr>
                <w:trHeight w:val="1200" w:hRule="atLeast"/>
              </w:trPr>
              <w:tc>
                <w:tcPr>
                  <w:tcW w:w="1300" w:type="dxa"/>
                  <w:tcBorders>
                    <w:top w:val="nil"/>
                    <w:left w:val="nil"/>
                    <w:bottom w:val="nil"/>
                    <w:right w:val="nil"/>
                  </w:tcBorders>
                  <w:vAlign w:val="bottom"/>
                </w:tcPr>
                <w:p>
                  <w:pPr>
                    <w:widowControl/>
                    <w:rPr>
                      <w:rFonts w:ascii="宋体" w:hAnsi="宋体" w:cs="宋体"/>
                      <w:kern w:val="0"/>
                      <w:sz w:val="24"/>
                      <w:szCs w:val="24"/>
                    </w:rPr>
                  </w:pPr>
                  <w:r>
                    <w:rPr>
                      <w:rFonts w:hint="eastAsia" w:ascii="宋体" w:hAnsi="宋体" w:cs="宋体"/>
                      <w:kern w:val="0"/>
                      <w:sz w:val="24"/>
                      <w:szCs w:val="24"/>
                    </w:rPr>
                    <w:t>专业</w:t>
                  </w:r>
                </w:p>
              </w:tc>
              <w:tc>
                <w:tcPr>
                  <w:tcW w:w="2800" w:type="dxa"/>
                  <w:tcBorders>
                    <w:top w:val="nil"/>
                    <w:left w:val="nil"/>
                    <w:bottom w:val="single" w:color="auto" w:sz="4" w:space="0"/>
                    <w:right w:val="nil"/>
                  </w:tcBorders>
                  <w:vAlign w:val="bottom"/>
                </w:tcPr>
                <w:p>
                  <w:pPr>
                    <w:widowControl/>
                    <w:jc w:val="left"/>
                    <w:rPr>
                      <w:rFonts w:ascii="宋体" w:hAnsi="宋体" w:cs="宋体"/>
                      <w:kern w:val="0"/>
                      <w:sz w:val="24"/>
                      <w:szCs w:val="24"/>
                    </w:rPr>
                  </w:pPr>
                  <w:r>
                    <w:rPr>
                      <w:rFonts w:hint="eastAsia" w:ascii="宋体" w:hAnsi="宋体" w:cs="宋体"/>
                      <w:kern w:val="0"/>
                      <w:sz w:val="24"/>
                      <w:szCs w:val="24"/>
                    </w:rPr>
                    <w:t>　物理管理</w:t>
                  </w:r>
                </w:p>
              </w:tc>
              <w:tc>
                <w:tcPr>
                  <w:tcW w:w="1200" w:type="dxa"/>
                  <w:tcBorders>
                    <w:top w:val="nil"/>
                    <w:left w:val="nil"/>
                    <w:bottom w:val="nil"/>
                    <w:right w:val="nil"/>
                  </w:tcBorders>
                  <w:vAlign w:val="bottom"/>
                </w:tcPr>
                <w:p>
                  <w:pPr>
                    <w:widowControl/>
                    <w:ind w:firstLine="240" w:firstLineChars="100"/>
                    <w:rPr>
                      <w:rFonts w:ascii="宋体" w:hAnsi="宋体" w:cs="宋体"/>
                      <w:kern w:val="0"/>
                      <w:sz w:val="24"/>
                      <w:szCs w:val="24"/>
                    </w:rPr>
                  </w:pPr>
                  <w:r>
                    <w:rPr>
                      <w:rFonts w:hint="eastAsia" w:ascii="宋体" w:hAnsi="宋体" w:cs="宋体"/>
                      <w:kern w:val="0"/>
                      <w:sz w:val="24"/>
                      <w:szCs w:val="24"/>
                    </w:rPr>
                    <w:t>学院</w:t>
                  </w:r>
                </w:p>
                <w:p>
                  <w:pPr>
                    <w:widowControl/>
                    <w:rPr>
                      <w:rFonts w:ascii="宋体" w:hAnsi="宋体" w:cs="宋体"/>
                      <w:kern w:val="0"/>
                      <w:sz w:val="24"/>
                      <w:szCs w:val="24"/>
                    </w:rPr>
                  </w:pPr>
                  <w:r>
                    <w:rPr>
                      <w:rFonts w:ascii="宋体" w:hAnsi="宋体" w:cs="宋体"/>
                      <w:kern w:val="0"/>
                      <w:sz w:val="24"/>
                      <w:szCs w:val="24"/>
                    </w:rPr>
                    <w:t>（分校）</w:t>
                  </w:r>
                </w:p>
              </w:tc>
              <w:tc>
                <w:tcPr>
                  <w:tcW w:w="2820" w:type="dxa"/>
                  <w:tcBorders>
                    <w:top w:val="nil"/>
                    <w:left w:val="nil"/>
                    <w:bottom w:val="single" w:color="auto" w:sz="4" w:space="0"/>
                    <w:right w:val="nil"/>
                  </w:tcBorders>
                  <w:vAlign w:val="bottom"/>
                </w:tcPr>
                <w:p>
                  <w:pPr>
                    <w:widowControl/>
                    <w:jc w:val="left"/>
                    <w:rPr>
                      <w:rFonts w:ascii="宋体" w:hAnsi="宋体" w:cs="宋体"/>
                      <w:kern w:val="0"/>
                      <w:sz w:val="24"/>
                      <w:szCs w:val="24"/>
                    </w:rPr>
                  </w:pPr>
                  <w:r>
                    <w:rPr>
                      <w:rFonts w:hint="eastAsia" w:ascii="宋体" w:hAnsi="宋体" w:cs="宋体"/>
                      <w:kern w:val="0"/>
                      <w:sz w:val="24"/>
                      <w:szCs w:val="24"/>
                    </w:rPr>
                    <w:t>　湛江开放大学</w:t>
                  </w:r>
                </w:p>
              </w:tc>
            </w:tr>
            <w:tr>
              <w:tblPrEx>
                <w:tblCellMar>
                  <w:top w:w="0" w:type="dxa"/>
                  <w:left w:w="108" w:type="dxa"/>
                  <w:bottom w:w="0" w:type="dxa"/>
                  <w:right w:w="108" w:type="dxa"/>
                </w:tblCellMar>
              </w:tblPrEx>
              <w:trPr>
                <w:trHeight w:val="1200" w:hRule="atLeast"/>
              </w:trPr>
              <w:tc>
                <w:tcPr>
                  <w:tcW w:w="1300" w:type="dxa"/>
                  <w:tcBorders>
                    <w:top w:val="nil"/>
                    <w:left w:val="nil"/>
                    <w:bottom w:val="nil"/>
                    <w:right w:val="nil"/>
                  </w:tcBorders>
                  <w:vAlign w:val="bottom"/>
                </w:tcPr>
                <w:p>
                  <w:pPr>
                    <w:widowControl/>
                    <w:rPr>
                      <w:rFonts w:ascii="宋体" w:hAnsi="宋体" w:cs="宋体"/>
                      <w:kern w:val="0"/>
                      <w:sz w:val="24"/>
                      <w:szCs w:val="24"/>
                    </w:rPr>
                  </w:pPr>
                  <w:r>
                    <w:rPr>
                      <w:rFonts w:hint="eastAsia" w:ascii="宋体" w:hAnsi="宋体" w:cs="宋体"/>
                      <w:kern w:val="0"/>
                      <w:sz w:val="24"/>
                      <w:szCs w:val="24"/>
                    </w:rPr>
                    <w:t>指导教师</w:t>
                  </w:r>
                </w:p>
              </w:tc>
              <w:tc>
                <w:tcPr>
                  <w:tcW w:w="2800" w:type="dxa"/>
                  <w:tcBorders>
                    <w:top w:val="nil"/>
                    <w:left w:val="nil"/>
                    <w:bottom w:val="single" w:color="auto" w:sz="4" w:space="0"/>
                    <w:right w:val="nil"/>
                  </w:tcBorders>
                  <w:vAlign w:val="bottom"/>
                </w:tcPr>
                <w:p>
                  <w:pPr>
                    <w:widowControl/>
                    <w:jc w:val="left"/>
                    <w:rPr>
                      <w:rFonts w:ascii="宋体" w:hAnsi="宋体" w:cs="宋体"/>
                      <w:kern w:val="0"/>
                      <w:sz w:val="24"/>
                      <w:szCs w:val="24"/>
                    </w:rPr>
                  </w:pPr>
                  <w:r>
                    <w:rPr>
                      <w:rFonts w:hint="eastAsia" w:ascii="宋体" w:hAnsi="宋体" w:cs="宋体"/>
                      <w:kern w:val="0"/>
                      <w:sz w:val="24"/>
                      <w:szCs w:val="24"/>
                    </w:rPr>
                    <w:t>　XXX</w:t>
                  </w:r>
                </w:p>
              </w:tc>
              <w:tc>
                <w:tcPr>
                  <w:tcW w:w="1200" w:type="dxa"/>
                  <w:tcBorders>
                    <w:top w:val="nil"/>
                    <w:left w:val="nil"/>
                    <w:bottom w:val="nil"/>
                    <w:right w:val="nil"/>
                  </w:tcBorders>
                  <w:vAlign w:val="bottom"/>
                </w:tcPr>
                <w:p>
                  <w:pPr>
                    <w:widowControl/>
                    <w:rPr>
                      <w:rFonts w:ascii="宋体" w:hAnsi="宋体" w:cs="宋体"/>
                      <w:kern w:val="0"/>
                      <w:sz w:val="24"/>
                      <w:szCs w:val="24"/>
                    </w:rPr>
                  </w:pPr>
                  <w:r>
                    <w:rPr>
                      <w:rFonts w:hint="eastAsia" w:ascii="宋体" w:hAnsi="宋体" w:cs="宋体"/>
                      <w:kern w:val="0"/>
                      <w:sz w:val="24"/>
                      <w:szCs w:val="24"/>
                    </w:rPr>
                    <w:t>学习</w:t>
                  </w:r>
                  <w:r>
                    <w:rPr>
                      <w:rFonts w:ascii="宋体" w:hAnsi="宋体" w:cs="宋体"/>
                      <w:kern w:val="0"/>
                      <w:sz w:val="24"/>
                      <w:szCs w:val="24"/>
                    </w:rPr>
                    <w:t>中心</w:t>
                  </w:r>
                </w:p>
              </w:tc>
              <w:tc>
                <w:tcPr>
                  <w:tcW w:w="2820" w:type="dxa"/>
                  <w:tcBorders>
                    <w:top w:val="nil"/>
                    <w:left w:val="nil"/>
                    <w:bottom w:val="single" w:color="auto" w:sz="4" w:space="0"/>
                    <w:right w:val="nil"/>
                  </w:tcBorders>
                  <w:vAlign w:val="bottom"/>
                </w:tcPr>
                <w:p>
                  <w:pPr>
                    <w:widowControl/>
                    <w:jc w:val="left"/>
                    <w:rPr>
                      <w:rFonts w:ascii="宋体" w:hAnsi="宋体" w:cs="宋体"/>
                      <w:kern w:val="0"/>
                      <w:sz w:val="24"/>
                      <w:szCs w:val="24"/>
                    </w:rPr>
                  </w:pPr>
                  <w:r>
                    <w:rPr>
                      <w:rFonts w:hint="eastAsia" w:ascii="宋体" w:hAnsi="宋体" w:cs="宋体"/>
                      <w:kern w:val="0"/>
                      <w:sz w:val="24"/>
                      <w:szCs w:val="24"/>
                    </w:rPr>
                    <w:t>　湛江开放大学</w:t>
                  </w:r>
                </w:p>
              </w:tc>
            </w:tr>
          </w:tbl>
          <w:p>
            <w:pPr>
              <w:widowControl/>
              <w:jc w:val="left"/>
              <w:rPr>
                <w:rFonts w:ascii="Times New Roman" w:hAnsi="Times New Roman" w:eastAsia="Times New Roman"/>
                <w:kern w:val="0"/>
                <w:sz w:val="20"/>
                <w:szCs w:val="20"/>
              </w:rPr>
            </w:pPr>
          </w:p>
        </w:tc>
      </w:tr>
    </w:tbl>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p>
    <w:p>
      <w:pPr>
        <w:jc w:val="center"/>
        <w:rPr>
          <w:rFonts w:ascii="黑体" w:hAnsi="Times New Roman" w:eastAsia="黑体"/>
          <w:sz w:val="28"/>
          <w:szCs w:val="28"/>
        </w:rPr>
      </w:pPr>
      <w:r>
        <w:rPr>
          <w:rFonts w:hint="eastAsia" w:ascii="黑体" w:hAnsi="Times New Roman" w:eastAsia="黑体"/>
          <w:sz w:val="28"/>
          <w:szCs w:val="28"/>
        </w:rPr>
        <w:t>学生毕业设计(论文)评审表</w:t>
      </w:r>
    </w:p>
    <w:tbl>
      <w:tblPr>
        <w:tblStyle w:val="7"/>
        <w:tblpPr w:leftFromText="180" w:rightFromText="180" w:vertAnchor="text" w:horzAnchor="margin" w:tblpY="56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325" w:hRule="atLeast"/>
        </w:trPr>
        <w:tc>
          <w:tcPr>
            <w:tcW w:w="8280" w:type="dxa"/>
          </w:tcPr>
          <w:p>
            <w:pPr>
              <w:rPr>
                <w:rFonts w:ascii="Times New Roman" w:hAnsi="Times New Roman"/>
                <w:szCs w:val="24"/>
              </w:rPr>
            </w:pPr>
          </w:p>
          <w:p>
            <w:pPr>
              <w:rPr>
                <w:rFonts w:ascii="Times New Roman" w:hAnsi="Times New Roman"/>
                <w:sz w:val="24"/>
                <w:szCs w:val="24"/>
              </w:rPr>
            </w:pPr>
            <w:r>
              <w:rPr>
                <w:rFonts w:hint="eastAsia" w:ascii="Times New Roman" w:hAnsi="Times New Roman"/>
                <w:sz w:val="24"/>
                <w:szCs w:val="24"/>
              </w:rPr>
              <w:t>学生毕业设计(论文)终稿(由学生填写)</w:t>
            </w:r>
          </w:p>
          <w:p>
            <w:pPr>
              <w:spacing w:after="120"/>
              <w:ind w:firstLine="420" w:firstLineChars="200"/>
              <w:rPr>
                <w:rFonts w:ascii="Times New Roman" w:hAnsi="Times New Roman"/>
                <w:szCs w:val="24"/>
              </w:rPr>
            </w:pPr>
          </w:p>
          <w:p>
            <w:pPr>
              <w:spacing w:after="120"/>
              <w:ind w:firstLine="480" w:firstLineChars="200"/>
              <w:rPr>
                <w:rFonts w:ascii="Times New Roman" w:hAnsi="Times New Roman"/>
                <w:sz w:val="24"/>
                <w:szCs w:val="24"/>
              </w:rPr>
            </w:pPr>
            <w:r>
              <w:rPr>
                <w:rFonts w:hint="eastAsia" w:ascii="Times New Roman" w:hAnsi="Times New Roman"/>
                <w:sz w:val="24"/>
                <w:szCs w:val="24"/>
              </w:rPr>
              <w:t>终稿内容包括：</w:t>
            </w:r>
          </w:p>
          <w:p>
            <w:pPr>
              <w:numPr>
                <w:ilvl w:val="0"/>
                <w:numId w:val="3"/>
              </w:numPr>
              <w:spacing w:after="120"/>
              <w:rPr>
                <w:rFonts w:ascii="宋体" w:hAnsi="宋体"/>
                <w:sz w:val="24"/>
                <w:szCs w:val="24"/>
              </w:rPr>
            </w:pPr>
            <w:r>
              <w:rPr>
                <w:rFonts w:hint="eastAsia" w:ascii="宋体" w:hAnsi="宋体"/>
                <w:sz w:val="24"/>
                <w:szCs w:val="24"/>
              </w:rPr>
              <w:t>毕业论文写作背景，选题的理由（</w:t>
            </w:r>
            <w:r>
              <w:rPr>
                <w:rFonts w:hint="eastAsia" w:ascii="Times New Roman" w:hAnsi="Times New Roman"/>
                <w:sz w:val="24"/>
                <w:szCs w:val="24"/>
              </w:rPr>
              <w:t>理论意义和实用价值</w:t>
            </w:r>
            <w:r>
              <w:rPr>
                <w:rFonts w:hint="eastAsia" w:ascii="宋体" w:hAnsi="宋体"/>
                <w:sz w:val="24"/>
                <w:szCs w:val="24"/>
              </w:rPr>
              <w:t>）；</w:t>
            </w:r>
          </w:p>
          <w:p>
            <w:pPr>
              <w:numPr>
                <w:ilvl w:val="0"/>
                <w:numId w:val="3"/>
              </w:numPr>
              <w:spacing w:after="120"/>
              <w:rPr>
                <w:rFonts w:ascii="Times New Roman" w:hAnsi="Times New Roman"/>
                <w:sz w:val="24"/>
                <w:szCs w:val="24"/>
              </w:rPr>
            </w:pPr>
            <w:r>
              <w:rPr>
                <w:rFonts w:hint="eastAsia" w:ascii="Times New Roman" w:hAnsi="Times New Roman"/>
                <w:sz w:val="24"/>
                <w:szCs w:val="24"/>
              </w:rPr>
              <w:t>写作过程，包括研究方法、收集资料的途径</w:t>
            </w:r>
          </w:p>
          <w:p>
            <w:pPr>
              <w:numPr>
                <w:ilvl w:val="0"/>
                <w:numId w:val="3"/>
              </w:numPr>
              <w:spacing w:after="120"/>
              <w:rPr>
                <w:rFonts w:ascii="Times New Roman" w:hAnsi="Times New Roman"/>
                <w:sz w:val="24"/>
                <w:szCs w:val="24"/>
              </w:rPr>
            </w:pPr>
            <w:r>
              <w:rPr>
                <w:rFonts w:hint="eastAsia" w:ascii="宋体" w:hAnsi="宋体"/>
                <w:sz w:val="24"/>
                <w:szCs w:val="24"/>
              </w:rPr>
              <w:t>论文写作的感想、收获。</w:t>
            </w:r>
          </w:p>
          <w:p>
            <w:pPr>
              <w:spacing w:after="120"/>
              <w:ind w:firstLine="480" w:firstLineChars="200"/>
              <w:rPr>
                <w:rFonts w:ascii="Times New Roman" w:hAnsi="Times New Roman"/>
                <w:sz w:val="24"/>
                <w:szCs w:val="24"/>
              </w:rPr>
            </w:pPr>
          </w:p>
          <w:p>
            <w:pPr>
              <w:rPr>
                <w:rFonts w:ascii="Times New Roman" w:hAnsi="Times New Roman"/>
                <w:szCs w:val="24"/>
              </w:rPr>
            </w:pPr>
          </w:p>
          <w:p>
            <w:pPr>
              <w:spacing w:after="120"/>
              <w:ind w:firstLine="420" w:firstLineChars="200"/>
              <w:rPr>
                <w:rFonts w:ascii="Times New Roman" w:hAnsi="Times New Roman"/>
                <w:szCs w:val="24"/>
              </w:rPr>
            </w:pPr>
          </w:p>
          <w:p>
            <w:pPr>
              <w:ind w:firstLine="1820" w:firstLineChars="650"/>
              <w:rPr>
                <w:rFonts w:ascii="宋体" w:hAnsi="宋体"/>
                <w:sz w:val="32"/>
                <w:szCs w:val="32"/>
              </w:rPr>
            </w:pPr>
            <w:r>
              <w:rPr>
                <w:rFonts w:hint="eastAsia" w:ascii="宋体" w:hAnsi="宋体"/>
                <w:sz w:val="28"/>
                <w:szCs w:val="28"/>
              </w:rPr>
              <w:t xml:space="preserve"> (不少于四百字)</w:t>
            </w:r>
          </w:p>
          <w:p>
            <w:pPr>
              <w:ind w:firstLine="640" w:firstLineChars="200"/>
              <w:rPr>
                <w:rFonts w:ascii="宋体" w:hAnsi="宋体"/>
                <w:sz w:val="32"/>
                <w:szCs w:val="32"/>
              </w:rPr>
            </w:pPr>
          </w:p>
          <w:p>
            <w:pPr>
              <w:ind w:firstLine="640" w:firstLineChars="200"/>
              <w:rPr>
                <w:rFonts w:ascii="Times New Roman" w:hAnsi="Times New Roman"/>
                <w:sz w:val="32"/>
                <w:szCs w:val="32"/>
              </w:rPr>
            </w:pPr>
          </w:p>
          <w:p>
            <w:pPr>
              <w:ind w:firstLine="640" w:firstLineChars="200"/>
              <w:rPr>
                <w:rFonts w:ascii="Times New Roman" w:hAnsi="Times New Roman"/>
                <w:sz w:val="32"/>
                <w:szCs w:val="32"/>
              </w:rPr>
            </w:pPr>
          </w:p>
          <w:p>
            <w:pPr>
              <w:ind w:firstLine="640" w:firstLineChars="200"/>
              <w:rPr>
                <w:rFonts w:ascii="Times New Roman" w:hAnsi="Times New Roman"/>
                <w:sz w:val="32"/>
                <w:szCs w:val="32"/>
              </w:rPr>
            </w:pPr>
          </w:p>
          <w:p>
            <w:pPr>
              <w:rPr>
                <w:rFonts w:ascii="Times New Roman" w:hAnsi="Times New Roman"/>
                <w:sz w:val="32"/>
                <w:szCs w:val="32"/>
              </w:rPr>
            </w:pPr>
          </w:p>
          <w:p>
            <w:pPr>
              <w:ind w:firstLine="640" w:firstLineChars="200"/>
              <w:rPr>
                <w:rFonts w:ascii="Times New Roman" w:hAnsi="Times New Roman"/>
                <w:sz w:val="32"/>
                <w:szCs w:val="32"/>
              </w:rPr>
            </w:pPr>
          </w:p>
          <w:p>
            <w:pPr>
              <w:ind w:firstLine="640" w:firstLineChars="200"/>
              <w:rPr>
                <w:rFonts w:ascii="Times New Roman" w:hAnsi="Times New Roman"/>
                <w:sz w:val="32"/>
                <w:szCs w:val="32"/>
              </w:rPr>
            </w:pPr>
          </w:p>
          <w:p>
            <w:pPr>
              <w:ind w:firstLine="640" w:firstLineChars="200"/>
              <w:rPr>
                <w:rFonts w:ascii="Times New Roman" w:hAnsi="Times New Roman"/>
                <w:sz w:val="32"/>
                <w:szCs w:val="32"/>
              </w:rPr>
            </w:pPr>
          </w:p>
          <w:p>
            <w:pPr>
              <w:ind w:firstLine="640" w:firstLineChars="200"/>
              <w:rPr>
                <w:rFonts w:ascii="Times New Roman" w:hAnsi="Times New Roman"/>
                <w:sz w:val="32"/>
                <w:szCs w:val="32"/>
              </w:rPr>
            </w:pPr>
          </w:p>
          <w:p>
            <w:pPr>
              <w:ind w:firstLine="640" w:firstLineChars="200"/>
              <w:rPr>
                <w:rFonts w:ascii="Times New Roman" w:hAnsi="Times New Roman"/>
                <w:sz w:val="32"/>
                <w:szCs w:val="32"/>
              </w:rPr>
            </w:pPr>
          </w:p>
          <w:p>
            <w:pPr>
              <w:rPr>
                <w:rFonts w:ascii="Times New Roman" w:hAnsi="Times New Roman"/>
                <w:sz w:val="32"/>
                <w:szCs w:val="32"/>
              </w:rPr>
            </w:pPr>
          </w:p>
          <w:p>
            <w:pPr>
              <w:ind w:firstLine="4935" w:firstLineChars="2350"/>
              <w:rPr>
                <w:rFonts w:ascii="Times New Roman" w:hAnsi="Times New Roman"/>
                <w:szCs w:val="24"/>
              </w:rPr>
            </w:pPr>
            <w:r>
              <w:rPr>
                <w:rFonts w:hint="eastAsia" w:ascii="Times New Roman" w:hAnsi="Times New Roman"/>
                <w:szCs w:val="24"/>
              </w:rPr>
              <w:t xml:space="preserve">学生(签名)： </w:t>
            </w:r>
          </w:p>
          <w:p>
            <w:pPr>
              <w:ind w:firstLine="4935"/>
              <w:rPr>
                <w:rFonts w:ascii="Times New Roman" w:hAnsi="Times New Roman"/>
                <w:szCs w:val="24"/>
              </w:rPr>
            </w:pPr>
            <w:r>
              <w:rPr>
                <w:rFonts w:hint="eastAsia" w:ascii="Times New Roman" w:hAnsi="Times New Roman"/>
                <w:szCs w:val="24"/>
              </w:rPr>
              <w:t>2021年X月 X日</w:t>
            </w:r>
          </w:p>
          <w:p>
            <w:pPr>
              <w:ind w:firstLine="6510" w:firstLineChars="3100"/>
              <w:rPr>
                <w:rFonts w:ascii="Times New Roman" w:hAnsi="Times New Roman"/>
                <w:szCs w:val="24"/>
              </w:rPr>
            </w:pPr>
            <w:r>
              <w:rPr>
                <w:rFonts w:hint="eastAsia" w:ascii="Times New Roman" w:hAnsi="Times New Roman"/>
                <w:szCs w:val="24"/>
              </w:rPr>
              <w:t>(可另附页)</w:t>
            </w:r>
          </w:p>
        </w:tc>
      </w:tr>
    </w:tbl>
    <w:p>
      <w:pPr>
        <w:jc w:val="center"/>
        <w:rPr>
          <w:rFonts w:ascii="Times New Roman" w:hAnsi="Times New Roman"/>
          <w:szCs w:val="24"/>
        </w:rPr>
      </w:pPr>
    </w:p>
    <w:p>
      <w:pPr>
        <w:ind w:firstLine="1124" w:firstLineChars="400"/>
        <w:rPr>
          <w:rFonts w:ascii="黑体" w:hAnsi="Times New Roman" w:eastAsia="黑体"/>
          <w:b/>
          <w:sz w:val="28"/>
          <w:szCs w:val="28"/>
        </w:rPr>
      </w:pPr>
      <w:r>
        <w:rPr>
          <w:rFonts w:hint="eastAsia" w:ascii="黑体" w:hAnsi="Times New Roman" w:eastAsia="黑体"/>
          <w:b/>
          <w:sz w:val="28"/>
          <w:szCs w:val="28"/>
        </w:rPr>
        <w:t>国家开放大学毕业设计(论文)教师指导记录表</w:t>
      </w:r>
    </w:p>
    <w:p>
      <w:pPr>
        <w:rPr>
          <w:rFonts w:ascii="Times New Roman" w:hAnsi="Times New Roman"/>
          <w:szCs w:val="21"/>
        </w:rPr>
      </w:pPr>
      <w:r>
        <w:rPr>
          <w:rFonts w:hint="eastAsia" w:ascii="Times New Roman" w:hAnsi="Times New Roman"/>
          <w:szCs w:val="21"/>
        </w:rPr>
        <w:t xml:space="preserve">省级分校 </w:t>
      </w:r>
      <w:r>
        <w:rPr>
          <w:rFonts w:hint="eastAsia" w:ascii="Times New Roman" w:hAnsi="Times New Roman"/>
          <w:szCs w:val="21"/>
          <w:u w:val="single"/>
        </w:rPr>
        <w:t xml:space="preserve"> 广东开放大学  </w:t>
      </w:r>
      <w:r>
        <w:rPr>
          <w:rFonts w:hint="eastAsia" w:ascii="Times New Roman" w:hAnsi="Times New Roman"/>
          <w:szCs w:val="21"/>
        </w:rPr>
        <w:t>分校</w:t>
      </w:r>
      <w:r>
        <w:rPr>
          <w:rFonts w:hint="eastAsia" w:ascii="Times New Roman" w:hAnsi="Times New Roman"/>
          <w:szCs w:val="21"/>
          <w:u w:val="single"/>
        </w:rPr>
        <w:t xml:space="preserve"> 湛江开放大学  </w:t>
      </w:r>
      <w:r>
        <w:rPr>
          <w:rFonts w:hint="eastAsia" w:ascii="Times New Roman" w:hAnsi="Times New Roman"/>
          <w:szCs w:val="21"/>
        </w:rPr>
        <w:t>教学点</w:t>
      </w:r>
      <w:r>
        <w:rPr>
          <w:rFonts w:hint="eastAsia" w:ascii="Times New Roman" w:hAnsi="Times New Roman"/>
          <w:szCs w:val="21"/>
          <w:u w:val="single"/>
        </w:rPr>
        <w:t xml:space="preserve"> 湛江开放大学  </w:t>
      </w:r>
      <w:r>
        <w:rPr>
          <w:rFonts w:hint="eastAsia" w:ascii="Times New Roman" w:hAnsi="Times New Roman"/>
          <w:szCs w:val="21"/>
        </w:rPr>
        <w:t>指导教师</w:t>
      </w:r>
      <w:r>
        <w:rPr>
          <w:rFonts w:hint="eastAsia" w:ascii="Times New Roman" w:hAnsi="Times New Roman"/>
          <w:szCs w:val="21"/>
          <w:u w:val="single"/>
        </w:rPr>
        <w:t xml:space="preserve"> XXX </w:t>
      </w:r>
    </w:p>
    <w:tbl>
      <w:tblPr>
        <w:tblStyle w:val="7"/>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058"/>
        <w:gridCol w:w="1417"/>
        <w:gridCol w:w="993"/>
        <w:gridCol w:w="2126"/>
        <w:gridCol w:w="850"/>
        <w:gridCol w:w="1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1598" w:type="dxa"/>
            <w:gridSpan w:val="2"/>
            <w:vAlign w:val="center"/>
          </w:tcPr>
          <w:p>
            <w:pPr>
              <w:jc w:val="center"/>
              <w:rPr>
                <w:rFonts w:ascii="Times New Roman" w:hAnsi="Times New Roman"/>
                <w:sz w:val="24"/>
                <w:szCs w:val="24"/>
              </w:rPr>
            </w:pPr>
            <w:r>
              <w:rPr>
                <w:rFonts w:hint="eastAsia" w:ascii="Times New Roman" w:hAnsi="Times New Roman"/>
                <w:sz w:val="24"/>
                <w:szCs w:val="24"/>
              </w:rPr>
              <w:t>学生姓名</w:t>
            </w:r>
          </w:p>
        </w:tc>
        <w:tc>
          <w:tcPr>
            <w:tcW w:w="1417" w:type="dxa"/>
            <w:vAlign w:val="center"/>
          </w:tcPr>
          <w:p>
            <w:pPr>
              <w:jc w:val="center"/>
              <w:rPr>
                <w:rFonts w:ascii="Times New Roman" w:hAnsi="Times New Roman"/>
                <w:sz w:val="24"/>
                <w:szCs w:val="24"/>
              </w:rPr>
            </w:pPr>
          </w:p>
        </w:tc>
        <w:tc>
          <w:tcPr>
            <w:tcW w:w="993" w:type="dxa"/>
            <w:vAlign w:val="center"/>
          </w:tcPr>
          <w:p>
            <w:pPr>
              <w:jc w:val="center"/>
              <w:rPr>
                <w:rFonts w:ascii="Times New Roman" w:hAnsi="Times New Roman"/>
                <w:sz w:val="24"/>
                <w:szCs w:val="24"/>
              </w:rPr>
            </w:pPr>
            <w:r>
              <w:rPr>
                <w:rFonts w:hint="eastAsia" w:ascii="Times New Roman" w:hAnsi="Times New Roman"/>
                <w:sz w:val="24"/>
                <w:szCs w:val="24"/>
              </w:rPr>
              <w:t>学号</w:t>
            </w:r>
          </w:p>
        </w:tc>
        <w:tc>
          <w:tcPr>
            <w:tcW w:w="2126" w:type="dxa"/>
            <w:vAlign w:val="center"/>
          </w:tcPr>
          <w:p>
            <w:pPr>
              <w:jc w:val="center"/>
              <w:rPr>
                <w:rFonts w:ascii="Times New Roman" w:hAnsi="Times New Roman"/>
                <w:sz w:val="24"/>
                <w:szCs w:val="24"/>
              </w:rPr>
            </w:pPr>
          </w:p>
        </w:tc>
        <w:tc>
          <w:tcPr>
            <w:tcW w:w="850" w:type="dxa"/>
            <w:vAlign w:val="center"/>
          </w:tcPr>
          <w:p>
            <w:pPr>
              <w:jc w:val="center"/>
              <w:rPr>
                <w:rFonts w:ascii="Times New Roman" w:hAnsi="Times New Roman"/>
                <w:sz w:val="24"/>
                <w:szCs w:val="24"/>
              </w:rPr>
            </w:pPr>
            <w:r>
              <w:rPr>
                <w:rFonts w:hint="eastAsia" w:ascii="Times New Roman" w:hAnsi="Times New Roman"/>
                <w:sz w:val="24"/>
                <w:szCs w:val="24"/>
              </w:rPr>
              <w:t>专业</w:t>
            </w:r>
          </w:p>
        </w:tc>
        <w:tc>
          <w:tcPr>
            <w:tcW w:w="1665" w:type="dxa"/>
            <w:vAlign w:val="center"/>
          </w:tcPr>
          <w:p>
            <w:pPr>
              <w:jc w:val="center"/>
              <w:rPr>
                <w:rFonts w:ascii="Times New Roman" w:hAnsi="Times New Roman"/>
                <w:sz w:val="24"/>
                <w:szCs w:val="24"/>
              </w:rPr>
            </w:pPr>
            <w:r>
              <w:rPr>
                <w:rFonts w:hint="eastAsia" w:ascii="Times New Roman" w:hAnsi="Times New Roman"/>
                <w:sz w:val="24"/>
                <w:szCs w:val="24"/>
              </w:rPr>
              <w:t>会计学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69" w:hRule="atLeast"/>
        </w:trPr>
        <w:tc>
          <w:tcPr>
            <w:tcW w:w="540" w:type="dxa"/>
            <w:textDirection w:val="tbRlV"/>
            <w:vAlign w:val="center"/>
          </w:tcPr>
          <w:p>
            <w:pPr>
              <w:ind w:left="113" w:right="113"/>
              <w:jc w:val="center"/>
              <w:rPr>
                <w:rFonts w:ascii="Times New Roman" w:hAnsi="Times New Roman"/>
                <w:sz w:val="24"/>
                <w:szCs w:val="24"/>
              </w:rPr>
            </w:pPr>
            <w:r>
              <w:rPr>
                <w:rFonts w:hint="eastAsia" w:ascii="Times New Roman" w:hAnsi="Times New Roman"/>
                <w:sz w:val="24"/>
                <w:szCs w:val="24"/>
              </w:rPr>
              <w:t>第一次指导</w:t>
            </w:r>
          </w:p>
        </w:tc>
        <w:tc>
          <w:tcPr>
            <w:tcW w:w="8109" w:type="dxa"/>
            <w:gridSpan w:val="6"/>
          </w:tcPr>
          <w:p>
            <w:pPr>
              <w:rPr>
                <w:rFonts w:ascii="Times New Roman" w:hAnsi="Times New Roman"/>
                <w:sz w:val="24"/>
                <w:szCs w:val="24"/>
              </w:rPr>
            </w:pPr>
            <w:r>
              <w:rPr>
                <w:rFonts w:hint="eastAsia" w:ascii="Times New Roman" w:hAnsi="Times New Roman"/>
                <w:sz w:val="24"/>
                <w:szCs w:val="24"/>
              </w:rPr>
              <w:t>指导时间：2021 年   月   日</w:t>
            </w:r>
          </w:p>
          <w:p>
            <w:pPr>
              <w:ind w:left="1212" w:hanging="1212" w:hangingChars="505"/>
              <w:rPr>
                <w:rFonts w:ascii="Times New Roman" w:hAnsi="Times New Roman"/>
                <w:sz w:val="24"/>
                <w:szCs w:val="24"/>
              </w:rPr>
            </w:pPr>
            <w:r>
              <w:rPr>
                <w:rFonts w:hint="eastAsia" w:ascii="Times New Roman" w:hAnsi="Times New Roman"/>
                <w:sz w:val="24"/>
                <w:szCs w:val="24"/>
              </w:rPr>
              <w:t>指导内容：</w:t>
            </w:r>
          </w:p>
          <w:p>
            <w:pPr>
              <w:ind w:firstLine="480" w:firstLineChars="200"/>
              <w:rPr>
                <w:sz w:val="24"/>
                <w:szCs w:val="24"/>
              </w:rPr>
            </w:pPr>
          </w:p>
          <w:p>
            <w:pPr>
              <w:ind w:firstLine="480" w:firstLineChars="200"/>
              <w:rPr>
                <w:rFonts w:ascii="Times New Roman" w:hAnsi="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9" w:hRule="atLeast"/>
        </w:trPr>
        <w:tc>
          <w:tcPr>
            <w:tcW w:w="540" w:type="dxa"/>
            <w:vAlign w:val="center"/>
          </w:tcPr>
          <w:p>
            <w:pPr>
              <w:jc w:val="center"/>
              <w:rPr>
                <w:rFonts w:ascii="Times New Roman" w:hAnsi="Times New Roman"/>
                <w:sz w:val="24"/>
                <w:szCs w:val="24"/>
              </w:rPr>
            </w:pPr>
            <w:r>
              <w:rPr>
                <w:rFonts w:hint="eastAsia" w:ascii="Times New Roman" w:hAnsi="Times New Roman"/>
                <w:sz w:val="24"/>
                <w:szCs w:val="24"/>
              </w:rPr>
              <w:t>第二次指导</w:t>
            </w:r>
          </w:p>
        </w:tc>
        <w:tc>
          <w:tcPr>
            <w:tcW w:w="8109" w:type="dxa"/>
            <w:gridSpan w:val="6"/>
          </w:tcPr>
          <w:p>
            <w:pPr>
              <w:rPr>
                <w:rFonts w:ascii="Times New Roman" w:hAnsi="Times New Roman"/>
                <w:sz w:val="24"/>
                <w:szCs w:val="24"/>
              </w:rPr>
            </w:pPr>
            <w:r>
              <w:rPr>
                <w:rFonts w:hint="eastAsia" w:ascii="Times New Roman" w:hAnsi="Times New Roman"/>
                <w:sz w:val="24"/>
                <w:szCs w:val="24"/>
              </w:rPr>
              <w:t>指导时间：     年   月   日</w:t>
            </w:r>
          </w:p>
          <w:p>
            <w:pPr>
              <w:rPr>
                <w:rFonts w:ascii="Times New Roman" w:hAnsi="Times New Roman"/>
                <w:sz w:val="24"/>
                <w:szCs w:val="24"/>
              </w:rPr>
            </w:pPr>
            <w:r>
              <w:rPr>
                <w:rFonts w:hint="eastAsia" w:ascii="Times New Roman" w:hAnsi="Times New Roman"/>
                <w:sz w:val="24"/>
                <w:szCs w:val="24"/>
              </w:rPr>
              <w:t>指导内容：（第一稿指导）</w:t>
            </w:r>
          </w:p>
          <w:p>
            <w:pPr>
              <w:rPr>
                <w:rFonts w:ascii="Times New Roman" w:hAnsi="Times New Roman"/>
                <w:sz w:val="24"/>
                <w:szCs w:val="24"/>
              </w:rPr>
            </w:pPr>
            <w:r>
              <w:rPr>
                <w:rFonts w:hint="eastAsia" w:ascii="Times New Roman" w:hAnsi="Times New Roman"/>
                <w:sz w:val="24"/>
                <w:szCs w:val="24"/>
              </w:rPr>
              <w:t>1、</w:t>
            </w:r>
          </w:p>
          <w:p>
            <w:pPr>
              <w:rPr>
                <w:rFonts w:ascii="Times New Roman" w:hAnsi="Times New Roman"/>
                <w:sz w:val="24"/>
                <w:szCs w:val="24"/>
              </w:rPr>
            </w:pPr>
            <w:r>
              <w:rPr>
                <w:rFonts w:hint="eastAsia" w:ascii="Times New Roman" w:hAnsi="Times New Roman"/>
                <w:sz w:val="24"/>
                <w:szCs w:val="24"/>
              </w:rPr>
              <w:t>2、</w:t>
            </w:r>
          </w:p>
          <w:p>
            <w:pPr>
              <w:rPr>
                <w:rFonts w:ascii="Times New Roman" w:hAnsi="Times New Roman"/>
                <w:sz w:val="24"/>
                <w:szCs w:val="24"/>
              </w:rPr>
            </w:pPr>
            <w:r>
              <w:rPr>
                <w:rFonts w:hint="eastAsia" w:ascii="Times New Roman" w:hAnsi="Times New Roman"/>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6" w:hRule="atLeast"/>
        </w:trPr>
        <w:tc>
          <w:tcPr>
            <w:tcW w:w="540" w:type="dxa"/>
            <w:vAlign w:val="center"/>
          </w:tcPr>
          <w:p>
            <w:pPr>
              <w:jc w:val="center"/>
              <w:rPr>
                <w:rFonts w:ascii="Times New Roman" w:hAnsi="Times New Roman"/>
                <w:sz w:val="24"/>
                <w:szCs w:val="24"/>
              </w:rPr>
            </w:pPr>
            <w:r>
              <w:rPr>
                <w:rFonts w:hint="eastAsia" w:ascii="Times New Roman" w:hAnsi="Times New Roman"/>
                <w:sz w:val="24"/>
                <w:szCs w:val="24"/>
              </w:rPr>
              <w:t>第三次指导</w:t>
            </w:r>
          </w:p>
        </w:tc>
        <w:tc>
          <w:tcPr>
            <w:tcW w:w="8109" w:type="dxa"/>
            <w:gridSpan w:val="6"/>
          </w:tcPr>
          <w:p>
            <w:pPr>
              <w:rPr>
                <w:rFonts w:ascii="Times New Roman" w:hAnsi="Times New Roman"/>
                <w:sz w:val="24"/>
                <w:szCs w:val="24"/>
              </w:rPr>
            </w:pPr>
            <w:r>
              <w:rPr>
                <w:rFonts w:hint="eastAsia" w:ascii="Times New Roman" w:hAnsi="Times New Roman"/>
                <w:sz w:val="24"/>
                <w:szCs w:val="24"/>
              </w:rPr>
              <w:t>指导时间：     年   月   日</w:t>
            </w:r>
          </w:p>
          <w:p>
            <w:pPr>
              <w:rPr>
                <w:rFonts w:ascii="Times New Roman" w:hAnsi="Times New Roman"/>
                <w:sz w:val="24"/>
                <w:szCs w:val="24"/>
              </w:rPr>
            </w:pPr>
            <w:r>
              <w:rPr>
                <w:rFonts w:hint="eastAsia" w:ascii="Times New Roman" w:hAnsi="Times New Roman"/>
                <w:sz w:val="24"/>
                <w:szCs w:val="24"/>
              </w:rPr>
              <w:t>指导内容：（第二稿指导）</w:t>
            </w:r>
          </w:p>
          <w:p>
            <w:pPr>
              <w:rPr>
                <w:rFonts w:ascii="Times New Roman" w:hAnsi="Times New Roman"/>
                <w:sz w:val="24"/>
                <w:szCs w:val="24"/>
              </w:rPr>
            </w:pPr>
            <w:r>
              <w:rPr>
                <w:rFonts w:hint="eastAsia" w:ascii="Times New Roman" w:hAnsi="Times New Roman"/>
                <w:sz w:val="24"/>
                <w:szCs w:val="24"/>
              </w:rPr>
              <w:t xml:space="preserve">1、 </w:t>
            </w:r>
          </w:p>
          <w:p>
            <w:pPr>
              <w:rPr>
                <w:rFonts w:ascii="Times New Roman" w:hAnsi="Times New Roman"/>
                <w:sz w:val="24"/>
                <w:szCs w:val="24"/>
              </w:rPr>
            </w:pPr>
            <w:r>
              <w:rPr>
                <w:rFonts w:hint="eastAsia" w:ascii="Times New Roman" w:hAnsi="Times New Roman"/>
                <w:sz w:val="24"/>
                <w:szCs w:val="24"/>
              </w:rPr>
              <w:t xml:space="preserve">2、 </w:t>
            </w:r>
          </w:p>
          <w:p>
            <w:pPr>
              <w:ind w:left="1517" w:hanging="1516" w:hangingChars="632"/>
              <w:rPr>
                <w:rFonts w:ascii="Times New Roman" w:hAnsi="Times New Roman"/>
                <w:sz w:val="24"/>
                <w:szCs w:val="24"/>
              </w:rPr>
            </w:pPr>
            <w:r>
              <w:rPr>
                <w:rFonts w:hint="eastAsia" w:ascii="Times New Roman" w:hAnsi="Times New Roman"/>
                <w:sz w:val="24"/>
                <w:szCs w:val="24"/>
              </w:rPr>
              <w:t xml:space="preserve">3、 </w:t>
            </w:r>
          </w:p>
          <w:p>
            <w:pPr>
              <w:ind w:left="1517" w:hanging="1516" w:hangingChars="632"/>
              <w:rPr>
                <w:rFonts w:ascii="Times New Roman" w:hAnsi="Times New Roman"/>
                <w:sz w:val="24"/>
                <w:szCs w:val="24"/>
              </w:rPr>
            </w:pPr>
            <w:r>
              <w:rPr>
                <w:rFonts w:hint="eastAsia" w:ascii="Times New Roman" w:hAnsi="Times New Roman"/>
                <w:sz w:val="24"/>
                <w:szCs w:val="24"/>
              </w:rPr>
              <w:t xml:space="preserve">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5" w:hRule="atLeast"/>
        </w:trPr>
        <w:tc>
          <w:tcPr>
            <w:tcW w:w="540" w:type="dxa"/>
            <w:vAlign w:val="center"/>
          </w:tcPr>
          <w:p>
            <w:pPr>
              <w:jc w:val="center"/>
              <w:rPr>
                <w:rFonts w:ascii="Times New Roman" w:hAnsi="Times New Roman"/>
                <w:sz w:val="24"/>
                <w:szCs w:val="24"/>
              </w:rPr>
            </w:pPr>
            <w:r>
              <w:rPr>
                <w:rFonts w:hint="eastAsia" w:ascii="Times New Roman" w:hAnsi="Times New Roman"/>
                <w:sz w:val="24"/>
                <w:szCs w:val="24"/>
              </w:rPr>
              <w:t>第四次指导</w:t>
            </w:r>
          </w:p>
        </w:tc>
        <w:tc>
          <w:tcPr>
            <w:tcW w:w="8109" w:type="dxa"/>
            <w:gridSpan w:val="6"/>
          </w:tcPr>
          <w:p>
            <w:pPr>
              <w:rPr>
                <w:rFonts w:ascii="Times New Roman" w:hAnsi="Times New Roman"/>
                <w:sz w:val="24"/>
                <w:szCs w:val="24"/>
              </w:rPr>
            </w:pPr>
            <w:r>
              <w:rPr>
                <w:rFonts w:hint="eastAsia" w:ascii="Times New Roman" w:hAnsi="Times New Roman"/>
                <w:sz w:val="24"/>
                <w:szCs w:val="24"/>
              </w:rPr>
              <w:t>指导时间：     年   月   日</w:t>
            </w:r>
          </w:p>
          <w:p>
            <w:pPr>
              <w:rPr>
                <w:rFonts w:ascii="Times New Roman" w:hAnsi="Times New Roman"/>
                <w:sz w:val="24"/>
                <w:szCs w:val="24"/>
              </w:rPr>
            </w:pPr>
            <w:r>
              <w:rPr>
                <w:rFonts w:hint="eastAsia" w:ascii="Times New Roman" w:hAnsi="Times New Roman"/>
                <w:sz w:val="24"/>
                <w:szCs w:val="24"/>
              </w:rPr>
              <w:t>指导内容：（第三稿指导）</w:t>
            </w:r>
          </w:p>
          <w:p>
            <w:pPr>
              <w:rPr>
                <w:rFonts w:ascii="Times New Roman" w:hAnsi="Times New Roman"/>
                <w:sz w:val="24"/>
                <w:szCs w:val="24"/>
              </w:rPr>
            </w:pPr>
            <w:r>
              <w:rPr>
                <w:rFonts w:hint="eastAsia" w:ascii="Times New Roman" w:hAnsi="Times New Roman"/>
                <w:sz w:val="24"/>
                <w:szCs w:val="24"/>
              </w:rPr>
              <w:t>1、</w:t>
            </w:r>
          </w:p>
          <w:p>
            <w:pPr>
              <w:rPr>
                <w:rFonts w:ascii="Times New Roman" w:hAnsi="Times New Roman"/>
                <w:sz w:val="24"/>
                <w:szCs w:val="24"/>
              </w:rPr>
            </w:pPr>
            <w:r>
              <w:rPr>
                <w:rFonts w:hint="eastAsia" w:ascii="Times New Roman" w:hAnsi="Times New Roman"/>
                <w:sz w:val="24"/>
                <w:szCs w:val="24"/>
              </w:rPr>
              <w:t>2、</w:t>
            </w:r>
          </w:p>
          <w:p>
            <w:pPr>
              <w:rPr>
                <w:rFonts w:ascii="Times New Roman" w:hAnsi="Times New Roman"/>
                <w:sz w:val="24"/>
                <w:szCs w:val="24"/>
              </w:rPr>
            </w:pPr>
            <w:r>
              <w:rPr>
                <w:rFonts w:hint="eastAsia" w:ascii="Times New Roman" w:hAnsi="Times New Roman"/>
                <w:sz w:val="24"/>
                <w:szCs w:val="24"/>
              </w:rPr>
              <w:t>3、</w:t>
            </w:r>
          </w:p>
          <w:p>
            <w:pPr>
              <w:rPr>
                <w:rFonts w:ascii="Times New Roman" w:hAnsi="Times New Roman"/>
                <w:sz w:val="24"/>
                <w:szCs w:val="24"/>
              </w:rPr>
            </w:pPr>
            <w:r>
              <w:rPr>
                <w:rFonts w:hint="eastAsia" w:ascii="Times New Roman" w:hAnsi="Times New Roman"/>
                <w:sz w:val="24"/>
                <w:szCs w:val="24"/>
              </w:rPr>
              <w:t>4、</w:t>
            </w:r>
          </w:p>
          <w:p>
            <w:pPr>
              <w:rPr>
                <w:rFonts w:ascii="Times New Roman" w:hAnsi="Times New Roman"/>
                <w:sz w:val="24"/>
                <w:szCs w:val="24"/>
              </w:rPr>
            </w:pPr>
            <w:r>
              <w:rPr>
                <w:rFonts w:hint="eastAsia" w:ascii="Times New Roman" w:hAnsi="Times New Roman"/>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2" w:hRule="atLeast"/>
        </w:trPr>
        <w:tc>
          <w:tcPr>
            <w:tcW w:w="540" w:type="dxa"/>
            <w:vAlign w:val="center"/>
          </w:tcPr>
          <w:p>
            <w:pPr>
              <w:jc w:val="center"/>
              <w:rPr>
                <w:rFonts w:ascii="Times New Roman" w:hAnsi="Times New Roman"/>
                <w:sz w:val="24"/>
                <w:szCs w:val="24"/>
              </w:rPr>
            </w:pPr>
            <w:r>
              <w:rPr>
                <w:rFonts w:hint="eastAsia" w:ascii="Times New Roman" w:hAnsi="Times New Roman"/>
                <w:sz w:val="24"/>
                <w:szCs w:val="24"/>
              </w:rPr>
              <w:t>第五次指导</w:t>
            </w:r>
          </w:p>
        </w:tc>
        <w:tc>
          <w:tcPr>
            <w:tcW w:w="8109" w:type="dxa"/>
            <w:gridSpan w:val="6"/>
          </w:tcPr>
          <w:p>
            <w:pPr>
              <w:rPr>
                <w:rFonts w:ascii="Times New Roman" w:hAnsi="Times New Roman"/>
                <w:sz w:val="24"/>
                <w:szCs w:val="24"/>
              </w:rPr>
            </w:pPr>
            <w:r>
              <w:rPr>
                <w:rFonts w:hint="eastAsia" w:ascii="Times New Roman" w:hAnsi="Times New Roman"/>
                <w:sz w:val="24"/>
                <w:szCs w:val="24"/>
              </w:rPr>
              <w:t>指导时间：    年   月   日</w:t>
            </w:r>
          </w:p>
          <w:p>
            <w:pPr>
              <w:rPr>
                <w:rFonts w:ascii="Times New Roman" w:hAnsi="Times New Roman"/>
                <w:sz w:val="24"/>
                <w:szCs w:val="24"/>
              </w:rPr>
            </w:pPr>
            <w:r>
              <w:rPr>
                <w:rFonts w:hint="eastAsia" w:ascii="Times New Roman" w:hAnsi="Times New Roman"/>
                <w:sz w:val="24"/>
                <w:szCs w:val="24"/>
              </w:rPr>
              <w:t>指导内容：（第四稿指导）</w:t>
            </w:r>
          </w:p>
          <w:p>
            <w:pPr>
              <w:rPr>
                <w:rFonts w:ascii="Times New Roman" w:hAnsi="Times New Roman"/>
                <w:sz w:val="24"/>
                <w:szCs w:val="24"/>
              </w:rPr>
            </w:pPr>
            <w:r>
              <w:rPr>
                <w:rFonts w:hint="eastAsia" w:ascii="Times New Roman" w:hAnsi="Times New Roman"/>
                <w:sz w:val="24"/>
                <w:szCs w:val="24"/>
              </w:rPr>
              <w:t>1、</w:t>
            </w:r>
          </w:p>
          <w:p>
            <w:pPr>
              <w:rPr>
                <w:rFonts w:ascii="Times New Roman" w:hAnsi="Times New Roman"/>
                <w:sz w:val="24"/>
                <w:szCs w:val="24"/>
              </w:rPr>
            </w:pPr>
            <w:r>
              <w:rPr>
                <w:rFonts w:hint="eastAsia" w:ascii="Times New Roman" w:hAnsi="Times New Roman"/>
                <w:sz w:val="24"/>
                <w:szCs w:val="24"/>
              </w:rPr>
              <w:t>2、</w:t>
            </w:r>
          </w:p>
          <w:p>
            <w:pPr>
              <w:rPr>
                <w:rFonts w:ascii="Times New Roman" w:hAnsi="Times New Roman"/>
                <w:sz w:val="24"/>
                <w:szCs w:val="24"/>
              </w:rPr>
            </w:pPr>
            <w:r>
              <w:rPr>
                <w:rFonts w:hint="eastAsia" w:ascii="Times New Roman" w:hAnsi="Times New Roman"/>
                <w:sz w:val="24"/>
                <w:szCs w:val="24"/>
              </w:rPr>
              <w:t>3、</w:t>
            </w:r>
          </w:p>
          <w:p>
            <w:pPr>
              <w:rPr>
                <w:rFonts w:ascii="Times New Roman" w:hAnsi="Times New Roman"/>
                <w:sz w:val="24"/>
                <w:szCs w:val="24"/>
              </w:rPr>
            </w:pPr>
            <w:r>
              <w:rPr>
                <w:rFonts w:hint="eastAsia" w:ascii="Times New Roman" w:hAnsi="Times New Roman"/>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trPr>
        <w:tc>
          <w:tcPr>
            <w:tcW w:w="540" w:type="dxa"/>
            <w:vAlign w:val="center"/>
          </w:tcPr>
          <w:p>
            <w:pPr>
              <w:jc w:val="center"/>
              <w:rPr>
                <w:rFonts w:ascii="Times New Roman" w:hAnsi="Times New Roman"/>
                <w:sz w:val="24"/>
                <w:szCs w:val="24"/>
              </w:rPr>
            </w:pPr>
            <w:r>
              <w:rPr>
                <w:rFonts w:hint="eastAsia" w:ascii="Times New Roman" w:hAnsi="Times New Roman"/>
                <w:sz w:val="24"/>
                <w:szCs w:val="24"/>
              </w:rPr>
              <w:t>第六次指导</w:t>
            </w:r>
          </w:p>
        </w:tc>
        <w:tc>
          <w:tcPr>
            <w:tcW w:w="8109" w:type="dxa"/>
            <w:gridSpan w:val="6"/>
          </w:tcPr>
          <w:p>
            <w:pPr>
              <w:rPr>
                <w:rFonts w:ascii="Times New Roman" w:hAnsi="Times New Roman"/>
                <w:sz w:val="24"/>
                <w:szCs w:val="24"/>
              </w:rPr>
            </w:pPr>
            <w:r>
              <w:rPr>
                <w:rFonts w:hint="eastAsia" w:ascii="Times New Roman" w:hAnsi="Times New Roman"/>
                <w:sz w:val="24"/>
                <w:szCs w:val="24"/>
              </w:rPr>
              <w:t>指导时间：    年    月   日</w:t>
            </w:r>
          </w:p>
          <w:p>
            <w:pPr>
              <w:rPr>
                <w:rFonts w:ascii="Times New Roman" w:hAnsi="Times New Roman"/>
                <w:sz w:val="24"/>
                <w:szCs w:val="24"/>
              </w:rPr>
            </w:pPr>
            <w:r>
              <w:rPr>
                <w:rFonts w:hint="eastAsia" w:ascii="Times New Roman" w:hAnsi="Times New Roman"/>
                <w:sz w:val="24"/>
                <w:szCs w:val="24"/>
              </w:rPr>
              <w:t>指导内容：（第五稿指导）</w:t>
            </w:r>
          </w:p>
          <w:p>
            <w:pPr>
              <w:rPr>
                <w:rFonts w:ascii="Times New Roman" w:hAnsi="Times New Roman"/>
                <w:sz w:val="24"/>
                <w:szCs w:val="24"/>
              </w:rPr>
            </w:pPr>
            <w:r>
              <w:rPr>
                <w:rFonts w:hint="eastAsia" w:ascii="Times New Roman" w:hAnsi="Times New Roman"/>
                <w:sz w:val="24"/>
                <w:szCs w:val="24"/>
              </w:rPr>
              <w:t>1、</w:t>
            </w:r>
          </w:p>
          <w:p>
            <w:pPr>
              <w:rPr>
                <w:rFonts w:ascii="Times New Roman" w:hAnsi="Times New Roman"/>
                <w:sz w:val="24"/>
                <w:szCs w:val="24"/>
              </w:rPr>
            </w:pPr>
            <w:r>
              <w:rPr>
                <w:rFonts w:hint="eastAsia" w:ascii="Times New Roman" w:hAnsi="Times New Roman"/>
                <w:sz w:val="24"/>
                <w:szCs w:val="24"/>
              </w:rPr>
              <w:t>2、</w:t>
            </w:r>
          </w:p>
          <w:p>
            <w:pPr>
              <w:rPr>
                <w:rFonts w:ascii="Times New Roman" w:hAnsi="Times New Roman"/>
                <w:sz w:val="24"/>
                <w:szCs w:val="24"/>
              </w:rPr>
            </w:pPr>
            <w:r>
              <w:rPr>
                <w:rFonts w:hint="eastAsia" w:ascii="Times New Roman" w:hAnsi="Times New Roman"/>
                <w:sz w:val="24"/>
                <w:szCs w:val="24"/>
              </w:rPr>
              <w:t>3、</w:t>
            </w:r>
          </w:p>
        </w:tc>
      </w:tr>
    </w:tbl>
    <w:p>
      <w:pPr>
        <w:rPr>
          <w:rFonts w:ascii="Times New Roman" w:hAnsi="Times New Roman"/>
          <w:szCs w:val="24"/>
        </w:rPr>
      </w:pPr>
    </w:p>
    <w:tbl>
      <w:tblPr>
        <w:tblStyle w:val="7"/>
        <w:tblW w:w="86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8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0" w:hRule="atLeast"/>
        </w:trPr>
        <w:tc>
          <w:tcPr>
            <w:tcW w:w="540" w:type="dxa"/>
            <w:textDirection w:val="tbRlV"/>
            <w:vAlign w:val="center"/>
          </w:tcPr>
          <w:p>
            <w:pPr>
              <w:jc w:val="center"/>
              <w:rPr>
                <w:rFonts w:ascii="Times New Roman" w:hAnsi="Times New Roman"/>
                <w:sz w:val="24"/>
                <w:szCs w:val="24"/>
              </w:rPr>
            </w:pPr>
            <w:r>
              <w:rPr>
                <w:rFonts w:hint="eastAsia" w:ascii="Times New Roman" w:hAnsi="Times New Roman"/>
                <w:sz w:val="24"/>
                <w:szCs w:val="24"/>
              </w:rPr>
              <w:t>指导教师评语</w:t>
            </w:r>
          </w:p>
        </w:tc>
        <w:tc>
          <w:tcPr>
            <w:tcW w:w="8109" w:type="dxa"/>
          </w:tcPr>
          <w:p>
            <w:pPr>
              <w:rPr>
                <w:rFonts w:ascii="Times New Roman" w:hAnsi="Times New Roman"/>
                <w:sz w:val="24"/>
                <w:szCs w:val="24"/>
              </w:rPr>
            </w:pPr>
          </w:p>
          <w:p>
            <w:pPr>
              <w:rPr>
                <w:rFonts w:ascii="Times New Roman" w:hAnsi="Times New Roman"/>
                <w:sz w:val="24"/>
                <w:szCs w:val="24"/>
              </w:rPr>
            </w:pPr>
          </w:p>
          <w:p>
            <w:pPr>
              <w:rPr>
                <w:rFonts w:ascii="Times New Roman" w:hAnsi="Times New Roman"/>
                <w:sz w:val="24"/>
                <w:szCs w:val="24"/>
              </w:rPr>
            </w:pPr>
          </w:p>
          <w:p>
            <w:pPr>
              <w:rPr>
                <w:rFonts w:ascii="Times New Roman" w:hAnsi="Times New Roman"/>
                <w:sz w:val="24"/>
                <w:szCs w:val="24"/>
              </w:rPr>
            </w:pPr>
          </w:p>
          <w:p>
            <w:pPr>
              <w:rPr>
                <w:rFonts w:ascii="Times New Roman" w:hAnsi="Times New Roman"/>
                <w:sz w:val="24"/>
                <w:szCs w:val="24"/>
              </w:rPr>
            </w:pPr>
          </w:p>
          <w:p>
            <w:pPr>
              <w:rPr>
                <w:rFonts w:ascii="Times New Roman" w:hAnsi="Times New Roman"/>
                <w:sz w:val="24"/>
                <w:szCs w:val="24"/>
              </w:rPr>
            </w:pPr>
          </w:p>
          <w:p>
            <w:pPr>
              <w:rPr>
                <w:rFonts w:ascii="Times New Roman" w:hAnsi="Times New Roman"/>
                <w:sz w:val="24"/>
                <w:szCs w:val="24"/>
              </w:rPr>
            </w:pPr>
          </w:p>
          <w:p>
            <w:pPr>
              <w:rPr>
                <w:rFonts w:ascii="Times New Roman" w:hAnsi="Times New Roman"/>
                <w:sz w:val="24"/>
                <w:szCs w:val="24"/>
              </w:rPr>
            </w:pPr>
          </w:p>
          <w:p>
            <w:pPr>
              <w:rPr>
                <w:rFonts w:ascii="Times New Roman" w:hAnsi="Times New Roman"/>
                <w:sz w:val="24"/>
                <w:szCs w:val="24"/>
              </w:rPr>
            </w:pPr>
          </w:p>
          <w:tbl>
            <w:tblPr>
              <w:tblStyle w:val="7"/>
              <w:tblpPr w:leftFromText="180" w:rightFromText="180" w:vertAnchor="text" w:horzAnchor="margin" w:tblpY="-57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5"/>
              <w:gridCol w:w="13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1305" w:type="dxa"/>
                </w:tcPr>
                <w:p>
                  <w:pPr>
                    <w:rPr>
                      <w:rFonts w:ascii="Times New Roman" w:hAnsi="Times New Roman"/>
                      <w:sz w:val="24"/>
                      <w:szCs w:val="24"/>
                    </w:rPr>
                  </w:pPr>
                  <w:r>
                    <w:rPr>
                      <w:rFonts w:hint="eastAsia" w:ascii="Times New Roman" w:hAnsi="Times New Roman"/>
                      <w:sz w:val="24"/>
                      <w:szCs w:val="24"/>
                    </w:rPr>
                    <w:t>初评成绩</w:t>
                  </w:r>
                </w:p>
              </w:tc>
              <w:tc>
                <w:tcPr>
                  <w:tcW w:w="1305" w:type="dxa"/>
                </w:tcPr>
                <w:p>
                  <w:pPr>
                    <w:rPr>
                      <w:rFonts w:ascii="Times New Roman" w:hAnsi="Times New Roman"/>
                      <w:sz w:val="24"/>
                      <w:szCs w:val="24"/>
                    </w:rPr>
                  </w:pPr>
                </w:p>
              </w:tc>
            </w:tr>
          </w:tbl>
          <w:p>
            <w:pPr>
              <w:rPr>
                <w:rFonts w:ascii="Times New Roman" w:hAnsi="Times New Roman"/>
                <w:sz w:val="24"/>
                <w:szCs w:val="24"/>
              </w:rPr>
            </w:pPr>
            <w:r>
              <w:rPr>
                <w:rFonts w:hint="eastAsia" w:ascii="Times New Roman" w:hAnsi="Times New Roman"/>
                <w:sz w:val="24"/>
                <w:szCs w:val="24"/>
              </w:rPr>
              <w:t xml:space="preserve">                        </w:t>
            </w:r>
          </w:p>
          <w:p>
            <w:pPr>
              <w:rPr>
                <w:rFonts w:ascii="Times New Roman" w:hAnsi="Times New Roman"/>
                <w:sz w:val="24"/>
                <w:szCs w:val="24"/>
              </w:rPr>
            </w:pPr>
            <w:r>
              <w:rPr>
                <w:rFonts w:hint="eastAsia" w:ascii="Times New Roman" w:hAnsi="Times New Roman"/>
                <w:sz w:val="24"/>
                <w:szCs w:val="24"/>
              </w:rPr>
              <w:t xml:space="preserve">                    指导教师（签名）：       所在单位：</w:t>
            </w:r>
          </w:p>
          <w:p>
            <w:pPr>
              <w:rPr>
                <w:rFonts w:ascii="Times New Roman" w:hAnsi="Times New Roman"/>
                <w:sz w:val="24"/>
                <w:szCs w:val="24"/>
              </w:rPr>
            </w:pPr>
            <w:r>
              <w:rPr>
                <w:rFonts w:hint="eastAsia" w:ascii="Times New Roman" w:hAnsi="Times New Roman"/>
                <w:sz w:val="24"/>
                <w:szCs w:val="24"/>
              </w:rPr>
              <w:t xml:space="preserve">                                        年    月    日</w:t>
            </w:r>
          </w:p>
          <w:p>
            <w:pPr>
              <w:rPr>
                <w:rFonts w:ascii="Times New Roman" w:hAnsi="Times New Roman"/>
                <w:sz w:val="24"/>
                <w:szCs w:val="24"/>
              </w:rPr>
            </w:pPr>
          </w:p>
        </w:tc>
      </w:tr>
    </w:tbl>
    <w:p>
      <w:pPr>
        <w:rPr>
          <w:vanish/>
        </w:rPr>
      </w:pPr>
    </w:p>
    <w:tbl>
      <w:tblPr>
        <w:tblStyle w:val="7"/>
        <w:tblpPr w:leftFromText="180" w:rightFromText="180" w:vertAnchor="text"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6" w:hRule="atLeast"/>
        </w:trPr>
        <w:tc>
          <w:tcPr>
            <w:tcW w:w="8613" w:type="dxa"/>
          </w:tcPr>
          <w:p>
            <w:pPr>
              <w:rPr>
                <w:rFonts w:ascii="Times New Roman" w:hAnsi="Times New Roman"/>
                <w:szCs w:val="24"/>
              </w:rPr>
            </w:pPr>
            <w:r>
              <w:rPr>
                <w:rFonts w:hint="eastAsia" w:ascii="Times New Roman" w:hAnsi="Times New Roman"/>
                <w:szCs w:val="24"/>
              </w:rPr>
              <w:t>初审意见：</w:t>
            </w:r>
          </w:p>
          <w:p>
            <w:pPr>
              <w:rPr>
                <w:rFonts w:ascii="Times New Roman" w:hAnsi="Times New Roman"/>
                <w:szCs w:val="24"/>
              </w:rPr>
            </w:pPr>
          </w:p>
          <w:p>
            <w:pPr>
              <w:rPr>
                <w:rFonts w:ascii="Times New Roman" w:hAnsi="Times New Roman"/>
                <w:szCs w:val="24"/>
              </w:rPr>
            </w:pPr>
          </w:p>
          <w:p>
            <w:pPr>
              <w:rPr>
                <w:rFonts w:ascii="Times New Roman" w:hAnsi="Times New Roman"/>
                <w:szCs w:val="24"/>
              </w:rPr>
            </w:pPr>
          </w:p>
          <w:p>
            <w:pPr>
              <w:rPr>
                <w:rFonts w:ascii="Times New Roman" w:hAnsi="Times New Roman"/>
                <w:szCs w:val="24"/>
              </w:rPr>
            </w:pPr>
          </w:p>
          <w:p>
            <w:pPr>
              <w:rPr>
                <w:rFonts w:ascii="Times New Roman" w:hAnsi="Times New Roman"/>
                <w:szCs w:val="24"/>
              </w:rPr>
            </w:pPr>
          </w:p>
          <w:p>
            <w:pPr>
              <w:rPr>
                <w:rFonts w:ascii="Times New Roman" w:hAnsi="Times New Roman"/>
                <w:szCs w:val="24"/>
              </w:rPr>
            </w:pPr>
          </w:p>
          <w:p>
            <w:pPr>
              <w:rPr>
                <w:rFonts w:ascii="Times New Roman" w:hAnsi="Times New Roman"/>
                <w:szCs w:val="24"/>
              </w:rPr>
            </w:pPr>
            <w:r>
              <w:rPr>
                <w:rFonts w:hint="eastAsia" w:ascii="Times New Roman" w:hAnsi="Times New Roman"/>
                <w:szCs w:val="24"/>
              </w:rPr>
              <w:t xml:space="preserve">                                   分校专业负责人（签名）：</w:t>
            </w:r>
          </w:p>
          <w:p>
            <w:pPr>
              <w:rPr>
                <w:rFonts w:ascii="Times New Roman" w:hAnsi="Times New Roman"/>
                <w:szCs w:val="24"/>
              </w:rPr>
            </w:pPr>
            <w:r>
              <w:rPr>
                <w:rFonts w:hint="eastAsia" w:ascii="Times New Roman" w:hAnsi="Times New Roman"/>
                <w:szCs w:val="24"/>
              </w:rPr>
              <w:t xml:space="preserve">                                         单位盖章</w:t>
            </w:r>
          </w:p>
          <w:p>
            <w:pPr>
              <w:rPr>
                <w:rFonts w:ascii="Times New Roman" w:hAnsi="Times New Roman"/>
                <w:szCs w:val="24"/>
              </w:rPr>
            </w:pPr>
            <w:r>
              <w:rPr>
                <w:rFonts w:hint="eastAsia" w:ascii="Times New Roman" w:hAnsi="Times New Roman"/>
                <w:szCs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1" w:hRule="atLeast"/>
        </w:trPr>
        <w:tc>
          <w:tcPr>
            <w:tcW w:w="8613" w:type="dxa"/>
          </w:tcPr>
          <w:p>
            <w:pPr>
              <w:rPr>
                <w:rFonts w:ascii="Times New Roman" w:hAnsi="Times New Roman"/>
                <w:szCs w:val="24"/>
              </w:rPr>
            </w:pPr>
            <w:r>
              <w:rPr>
                <w:rFonts w:hint="eastAsia" w:ascii="Times New Roman" w:hAnsi="Times New Roman"/>
                <w:szCs w:val="24"/>
              </w:rPr>
              <w:t>广东开放大学验收意见：</w:t>
            </w:r>
          </w:p>
          <w:p>
            <w:pPr>
              <w:rPr>
                <w:rFonts w:ascii="Times New Roman" w:hAnsi="Times New Roman"/>
                <w:szCs w:val="24"/>
              </w:rPr>
            </w:pPr>
          </w:p>
          <w:p>
            <w:pPr>
              <w:rPr>
                <w:rFonts w:ascii="Times New Roman" w:hAnsi="Times New Roman"/>
                <w:szCs w:val="24"/>
              </w:rPr>
            </w:pPr>
          </w:p>
          <w:p>
            <w:pPr>
              <w:rPr>
                <w:rFonts w:ascii="Times New Roman" w:hAnsi="Times New Roman"/>
                <w:szCs w:val="24"/>
              </w:rPr>
            </w:pPr>
          </w:p>
          <w:p>
            <w:pPr>
              <w:rPr>
                <w:rFonts w:ascii="Times New Roman" w:hAnsi="Times New Roman"/>
                <w:szCs w:val="24"/>
              </w:rPr>
            </w:pPr>
          </w:p>
          <w:p>
            <w:pPr>
              <w:rPr>
                <w:rFonts w:ascii="Times New Roman" w:hAnsi="Times New Roman"/>
                <w:szCs w:val="24"/>
              </w:rPr>
            </w:pPr>
          </w:p>
          <w:p>
            <w:pPr>
              <w:rPr>
                <w:rFonts w:ascii="Times New Roman" w:hAnsi="Times New Roman"/>
                <w:szCs w:val="24"/>
              </w:rPr>
            </w:pPr>
          </w:p>
          <w:p>
            <w:pPr>
              <w:rPr>
                <w:rFonts w:ascii="Times New Roman" w:hAnsi="Times New Roman"/>
                <w:szCs w:val="24"/>
              </w:rPr>
            </w:pPr>
            <w:r>
              <w:rPr>
                <w:rFonts w:hint="eastAsia" w:ascii="Times New Roman" w:hAnsi="Times New Roman"/>
                <w:szCs w:val="24"/>
              </w:rPr>
              <w:t xml:space="preserve">                                    省电大专业负责人（签名）：</w:t>
            </w:r>
          </w:p>
          <w:p>
            <w:pPr>
              <w:rPr>
                <w:rFonts w:ascii="Times New Roman" w:hAnsi="Times New Roman"/>
                <w:szCs w:val="24"/>
              </w:rPr>
            </w:pPr>
            <w:r>
              <w:rPr>
                <w:rFonts w:hint="eastAsia" w:ascii="Times New Roman" w:hAnsi="Times New Roman"/>
                <w:szCs w:val="24"/>
              </w:rPr>
              <w:t xml:space="preserve">                                                         年      月     日</w:t>
            </w:r>
          </w:p>
          <w:p>
            <w:pP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1" w:hRule="atLeast"/>
        </w:trPr>
        <w:tc>
          <w:tcPr>
            <w:tcW w:w="8613" w:type="dxa"/>
          </w:tcPr>
          <w:p>
            <w:pPr>
              <w:rPr>
                <w:rFonts w:ascii="Times New Roman" w:hAnsi="Times New Roman"/>
                <w:szCs w:val="24"/>
              </w:rPr>
            </w:pPr>
            <w:r>
              <w:rPr>
                <w:rFonts w:hint="eastAsia" w:ascii="Times New Roman" w:hAnsi="Times New Roman"/>
                <w:szCs w:val="24"/>
              </w:rPr>
              <w:t>国家开放大学毕业论文指导委员会终审意见：</w:t>
            </w:r>
          </w:p>
          <w:p>
            <w:pPr>
              <w:rPr>
                <w:rFonts w:ascii="Times New Roman" w:hAnsi="Times New Roman"/>
                <w:szCs w:val="24"/>
              </w:rPr>
            </w:pPr>
          </w:p>
          <w:p>
            <w:pPr>
              <w:rPr>
                <w:rFonts w:ascii="Times New Roman" w:hAnsi="Times New Roman"/>
                <w:szCs w:val="24"/>
              </w:rPr>
            </w:pPr>
          </w:p>
          <w:p>
            <w:pPr>
              <w:rPr>
                <w:rFonts w:ascii="Times New Roman" w:hAnsi="Times New Roman"/>
                <w:szCs w:val="24"/>
              </w:rPr>
            </w:pPr>
          </w:p>
          <w:p>
            <w:pPr>
              <w:rPr>
                <w:rFonts w:ascii="Times New Roman" w:hAnsi="Times New Roman"/>
                <w:szCs w:val="24"/>
              </w:rPr>
            </w:pPr>
          </w:p>
          <w:p>
            <w:pPr>
              <w:rPr>
                <w:rFonts w:ascii="Times New Roman" w:hAnsi="Times New Roman"/>
                <w:szCs w:val="24"/>
              </w:rPr>
            </w:pPr>
          </w:p>
          <w:p>
            <w:pPr>
              <w:rPr>
                <w:rFonts w:ascii="Times New Roman" w:hAnsi="Times New Roman"/>
                <w:szCs w:val="24"/>
              </w:rPr>
            </w:pPr>
          </w:p>
          <w:p>
            <w:pPr>
              <w:rPr>
                <w:rFonts w:ascii="Times New Roman" w:hAnsi="Times New Roman"/>
                <w:szCs w:val="24"/>
              </w:rPr>
            </w:pPr>
            <w:r>
              <w:rPr>
                <w:rFonts w:hint="eastAsia" w:ascii="Times New Roman" w:hAnsi="Times New Roman"/>
                <w:szCs w:val="24"/>
              </w:rPr>
              <w:t xml:space="preserve">                                   终审小组负责人（签名）：</w:t>
            </w:r>
          </w:p>
          <w:p>
            <w:pPr>
              <w:rPr>
                <w:rFonts w:ascii="Times New Roman" w:hAnsi="Times New Roman"/>
                <w:szCs w:val="24"/>
              </w:rPr>
            </w:pPr>
            <w:r>
              <w:rPr>
                <w:rFonts w:hint="eastAsia" w:ascii="Times New Roman" w:hAnsi="Times New Roman"/>
                <w:szCs w:val="24"/>
              </w:rPr>
              <w:t xml:space="preserve">                                                         年      月     日</w:t>
            </w:r>
          </w:p>
        </w:tc>
      </w:tr>
    </w:tbl>
    <w:p>
      <w:pPr>
        <w:spacing w:line="360" w:lineRule="auto"/>
        <w:rPr>
          <w:rFonts w:ascii="宋体" w:hAnsi="宋体"/>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end"/>
    </w:r>
  </w:p>
  <w:p>
    <w:pPr>
      <w:pStyle w:val="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left" w:pos="4786"/>
        <w:tab w:val="clear" w:pos="4153"/>
      </w:tabs>
      <w:ind w:right="360"/>
    </w:pPr>
    <w:r>
      <w:rPr>
        <w:rFonts w:hint="eastAsia"/>
      </w:rPr>
      <w:tab/>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635" b="0"/>
              <wp:wrapNone/>
              <wp:docPr id="4" name="文本框 4"/>
              <wp:cNvGraphicFramePr/>
              <a:graphic xmlns:a="http://schemas.openxmlformats.org/drawingml/2006/main">
                <a:graphicData uri="http://schemas.microsoft.com/office/word/2010/wordprocessingShape">
                  <wps:wsp>
                    <wps:cNvSpPr txBox="1">
                      <a:spLocks noChangeArrowheads="1"/>
                    </wps:cNvSpPr>
                    <wps:spPr bwMode="auto">
                      <a:xfrm>
                        <a:off x="0" y="0"/>
                        <a:ext cx="58420" cy="1397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t>7</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1pt;width:4.6pt;mso-position-horizontal:center;mso-position-horizontal-relative:margin;mso-wrap-style:none;z-index:251659264;mso-width-relative:page;mso-height-relative:page;" filled="f" stroked="f" coordsize="21600,21600" o:gfxdata="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y1u5d9AAAAACAQAADwAAAAAAAAABACAAAAAiAAAAZHJzL2Rv&#10;d25yZXYueG1sUEsBAhQAFAAAAAgAh07iQFMGoqwJAgAAAQQAAA4AAAAAAAAAAQAgAAAAHwEAAGRy&#10;cy9lMm9Eb2MueG1sUEsFBgAAAAAGAAYAWQEAAJoFA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7</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B606A8"/>
    <w:multiLevelType w:val="multilevel"/>
    <w:tmpl w:val="8CB606A8"/>
    <w:lvl w:ilvl="0" w:tentative="0">
      <w:start w:val="1"/>
      <w:numFmt w:val="decimal"/>
      <w:suff w:val="nothing"/>
      <w:lvlText w:val="%1、"/>
      <w:lvlJc w:val="left"/>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A0C3E15"/>
    <w:multiLevelType w:val="multilevel"/>
    <w:tmpl w:val="2A0C3E15"/>
    <w:lvl w:ilvl="0" w:tentative="0">
      <w:start w:val="1"/>
      <w:numFmt w:val="decimal"/>
      <w:lvlText w:val="%1."/>
      <w:lvlJc w:val="left"/>
      <w:pPr>
        <w:tabs>
          <w:tab w:val="left" w:pos="885"/>
        </w:tabs>
        <w:ind w:left="885" w:hanging="360"/>
      </w:pPr>
      <w:rPr>
        <w:rFonts w:hint="default"/>
      </w:rPr>
    </w:lvl>
    <w:lvl w:ilvl="1" w:tentative="0">
      <w:start w:val="1"/>
      <w:numFmt w:val="lowerLetter"/>
      <w:lvlText w:val="%2)"/>
      <w:lvlJc w:val="left"/>
      <w:pPr>
        <w:tabs>
          <w:tab w:val="left" w:pos="1365"/>
        </w:tabs>
        <w:ind w:left="1365" w:hanging="420"/>
      </w:pPr>
    </w:lvl>
    <w:lvl w:ilvl="2" w:tentative="0">
      <w:start w:val="1"/>
      <w:numFmt w:val="lowerRoman"/>
      <w:lvlText w:val="%3."/>
      <w:lvlJc w:val="right"/>
      <w:pPr>
        <w:tabs>
          <w:tab w:val="left" w:pos="1785"/>
        </w:tabs>
        <w:ind w:left="1785" w:hanging="420"/>
      </w:pPr>
    </w:lvl>
    <w:lvl w:ilvl="3" w:tentative="0">
      <w:start w:val="1"/>
      <w:numFmt w:val="decimal"/>
      <w:lvlText w:val="%4."/>
      <w:lvlJc w:val="left"/>
      <w:pPr>
        <w:tabs>
          <w:tab w:val="left" w:pos="2205"/>
        </w:tabs>
        <w:ind w:left="2205" w:hanging="420"/>
      </w:pPr>
    </w:lvl>
    <w:lvl w:ilvl="4" w:tentative="0">
      <w:start w:val="1"/>
      <w:numFmt w:val="lowerLetter"/>
      <w:lvlText w:val="%5)"/>
      <w:lvlJc w:val="left"/>
      <w:pPr>
        <w:tabs>
          <w:tab w:val="left" w:pos="2625"/>
        </w:tabs>
        <w:ind w:left="2625" w:hanging="420"/>
      </w:pPr>
    </w:lvl>
    <w:lvl w:ilvl="5" w:tentative="0">
      <w:start w:val="1"/>
      <w:numFmt w:val="lowerRoman"/>
      <w:lvlText w:val="%6."/>
      <w:lvlJc w:val="right"/>
      <w:pPr>
        <w:tabs>
          <w:tab w:val="left" w:pos="3045"/>
        </w:tabs>
        <w:ind w:left="3045" w:hanging="420"/>
      </w:pPr>
    </w:lvl>
    <w:lvl w:ilvl="6" w:tentative="0">
      <w:start w:val="1"/>
      <w:numFmt w:val="decimal"/>
      <w:lvlText w:val="%7."/>
      <w:lvlJc w:val="left"/>
      <w:pPr>
        <w:tabs>
          <w:tab w:val="left" w:pos="3465"/>
        </w:tabs>
        <w:ind w:left="3465" w:hanging="420"/>
      </w:pPr>
    </w:lvl>
    <w:lvl w:ilvl="7" w:tentative="0">
      <w:start w:val="1"/>
      <w:numFmt w:val="lowerLetter"/>
      <w:lvlText w:val="%8)"/>
      <w:lvlJc w:val="left"/>
      <w:pPr>
        <w:tabs>
          <w:tab w:val="left" w:pos="3885"/>
        </w:tabs>
        <w:ind w:left="3885" w:hanging="420"/>
      </w:pPr>
    </w:lvl>
    <w:lvl w:ilvl="8" w:tentative="0">
      <w:start w:val="1"/>
      <w:numFmt w:val="lowerRoman"/>
      <w:lvlText w:val="%9."/>
      <w:lvlJc w:val="right"/>
      <w:pPr>
        <w:tabs>
          <w:tab w:val="left" w:pos="4305"/>
        </w:tabs>
        <w:ind w:left="4305" w:hanging="420"/>
      </w:pPr>
    </w:lvl>
  </w:abstractNum>
  <w:abstractNum w:abstractNumId="2">
    <w:nsid w:val="5C2376F4"/>
    <w:multiLevelType w:val="multilevel"/>
    <w:tmpl w:val="5C2376F4"/>
    <w:lvl w:ilvl="0" w:tentative="0">
      <w:start w:val="4"/>
      <w:numFmt w:val="japaneseCounting"/>
      <w:lvlText w:val="%1、"/>
      <w:lvlJc w:val="left"/>
      <w:pPr>
        <w:ind w:left="750" w:hanging="7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57D6"/>
    <w:rsid w:val="000C00BB"/>
    <w:rsid w:val="000F19C3"/>
    <w:rsid w:val="000F20A8"/>
    <w:rsid w:val="00113C86"/>
    <w:rsid w:val="0018075F"/>
    <w:rsid w:val="0024040E"/>
    <w:rsid w:val="002857D6"/>
    <w:rsid w:val="003E0774"/>
    <w:rsid w:val="00431434"/>
    <w:rsid w:val="00450147"/>
    <w:rsid w:val="004E4E3B"/>
    <w:rsid w:val="006929C6"/>
    <w:rsid w:val="006A30C5"/>
    <w:rsid w:val="0074393D"/>
    <w:rsid w:val="00752F6A"/>
    <w:rsid w:val="007656D7"/>
    <w:rsid w:val="00800A0B"/>
    <w:rsid w:val="00AC0852"/>
    <w:rsid w:val="00B05953"/>
    <w:rsid w:val="00B20FD3"/>
    <w:rsid w:val="00BA100F"/>
    <w:rsid w:val="00E93415"/>
    <w:rsid w:val="00F145BD"/>
    <w:rsid w:val="00F76614"/>
    <w:rsid w:val="497477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ody Text Indent"/>
    <w:basedOn w:val="1"/>
    <w:link w:val="16"/>
    <w:unhideWhenUsed/>
    <w:uiPriority w:val="99"/>
    <w:pPr>
      <w:spacing w:after="120"/>
      <w:ind w:left="420" w:leftChars="200"/>
    </w:pPr>
  </w:style>
  <w:style w:type="paragraph" w:styleId="3">
    <w:name w:val="Balloon Text"/>
    <w:basedOn w:val="1"/>
    <w:link w:val="19"/>
    <w:semiHidden/>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toc 1"/>
    <w:basedOn w:val="1"/>
    <w:next w:val="1"/>
    <w:unhideWhenUsed/>
    <w:qFormat/>
    <w:uiPriority w:val="39"/>
  </w:style>
  <w:style w:type="character" w:styleId="9">
    <w:name w:val="page number"/>
    <w:basedOn w:val="8"/>
    <w:unhideWhenUsed/>
    <w:qFormat/>
    <w:uiPriority w:val="99"/>
  </w:style>
  <w:style w:type="character" w:customStyle="1" w:styleId="10">
    <w:name w:val="页脚 Char"/>
    <w:link w:val="4"/>
    <w:qFormat/>
    <w:uiPriority w:val="99"/>
    <w:rPr>
      <w:sz w:val="18"/>
      <w:szCs w:val="18"/>
    </w:rPr>
  </w:style>
  <w:style w:type="character" w:customStyle="1" w:styleId="11">
    <w:name w:val="封面-论文英文题目"/>
    <w:qFormat/>
    <w:uiPriority w:val="0"/>
    <w:rPr>
      <w:rFonts w:ascii="Times New Roman" w:hAnsi="Times New Roman" w:eastAsia="宋体"/>
      <w:sz w:val="36"/>
    </w:rPr>
  </w:style>
  <w:style w:type="character" w:customStyle="1" w:styleId="12">
    <w:name w:val="页眉 Char"/>
    <w:link w:val="5"/>
    <w:qFormat/>
    <w:uiPriority w:val="99"/>
    <w:rPr>
      <w:sz w:val="18"/>
      <w:szCs w:val="18"/>
    </w:rPr>
  </w:style>
  <w:style w:type="character" w:customStyle="1" w:styleId="13">
    <w:name w:val="封面1"/>
    <w:qFormat/>
    <w:uiPriority w:val="0"/>
    <w:rPr>
      <w:rFonts w:ascii="Times New Roman" w:hAnsi="Times New Roman" w:eastAsia="楷体_GB2312"/>
      <w:spacing w:val="60"/>
      <w:kern w:val="84"/>
      <w:sz w:val="84"/>
    </w:rPr>
  </w:style>
  <w:style w:type="character" w:customStyle="1" w:styleId="14">
    <w:name w:val="封面2"/>
    <w:qFormat/>
    <w:uiPriority w:val="0"/>
    <w:rPr>
      <w:b/>
      <w:spacing w:val="60"/>
      <w:sz w:val="44"/>
    </w:rPr>
  </w:style>
  <w:style w:type="character" w:customStyle="1" w:styleId="15">
    <w:name w:val="页脚 Char1"/>
    <w:basedOn w:val="8"/>
    <w:semiHidden/>
    <w:uiPriority w:val="99"/>
    <w:rPr>
      <w:rFonts w:ascii="Calibri" w:hAnsi="Calibri" w:eastAsia="宋体" w:cs="Times New Roman"/>
      <w:sz w:val="18"/>
      <w:szCs w:val="18"/>
    </w:rPr>
  </w:style>
  <w:style w:type="character" w:customStyle="1" w:styleId="16">
    <w:name w:val="正文文本缩进 Char"/>
    <w:basedOn w:val="8"/>
    <w:link w:val="2"/>
    <w:qFormat/>
    <w:uiPriority w:val="99"/>
    <w:rPr>
      <w:rFonts w:ascii="Calibri" w:hAnsi="Calibri" w:eastAsia="宋体" w:cs="Times New Roman"/>
    </w:rPr>
  </w:style>
  <w:style w:type="character" w:customStyle="1" w:styleId="17">
    <w:name w:val="页眉 Char1"/>
    <w:basedOn w:val="8"/>
    <w:semiHidden/>
    <w:qFormat/>
    <w:uiPriority w:val="99"/>
    <w:rPr>
      <w:rFonts w:ascii="Calibri" w:hAnsi="Calibri" w:eastAsia="宋体" w:cs="Times New Roman"/>
      <w:sz w:val="18"/>
      <w:szCs w:val="18"/>
    </w:rPr>
  </w:style>
  <w:style w:type="paragraph" w:customStyle="1" w:styleId="18">
    <w:name w:val="正文（结尾部分）"/>
    <w:basedOn w:val="1"/>
    <w:qFormat/>
    <w:uiPriority w:val="0"/>
    <w:pPr>
      <w:adjustRightInd w:val="0"/>
      <w:snapToGrid w:val="0"/>
      <w:spacing w:line="320" w:lineRule="exact"/>
      <w:ind w:firstLine="200" w:firstLineChars="200"/>
    </w:pPr>
    <w:rPr>
      <w:rFonts w:ascii="Times New Roman" w:hAnsi="Times New Roman"/>
      <w:szCs w:val="24"/>
    </w:rPr>
  </w:style>
  <w:style w:type="character" w:customStyle="1" w:styleId="19">
    <w:name w:val="批注框文本 Char"/>
    <w:basedOn w:val="8"/>
    <w:link w:val="3"/>
    <w:semiHidden/>
    <w:qFormat/>
    <w:uiPriority w:val="99"/>
    <w:rPr>
      <w:rFonts w:ascii="Calibri" w:hAnsi="Calibri" w:eastAsia="宋体" w:cs="Times New Roman"/>
      <w:sz w:val="18"/>
      <w:szCs w:val="18"/>
    </w:rPr>
  </w:style>
  <w:style w:type="paragraph" w:styleId="2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58368C-2193-41E7-8B7C-AF790B87754D}">
  <ds:schemaRefs/>
</ds:datastoreItem>
</file>

<file path=docProps/app.xml><?xml version="1.0" encoding="utf-8"?>
<Properties xmlns="http://schemas.openxmlformats.org/officeDocument/2006/extended-properties" xmlns:vt="http://schemas.openxmlformats.org/officeDocument/2006/docPropsVTypes">
  <Template>Normal</Template>
  <Company>微软公司</Company>
  <Pages>13</Pages>
  <Words>889</Words>
  <Characters>5070</Characters>
  <Lines>42</Lines>
  <Paragraphs>11</Paragraphs>
  <TotalTime>7</TotalTime>
  <ScaleCrop>false</ScaleCrop>
  <LinksUpToDate>false</LinksUpToDate>
  <CharactersWithSpaces>5948</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2021-07-17T01:24:00Z</dcterms:created>
  <dc:creator>10022</dc:creator>
  <cp:lastModifiedBy>擎曦</cp:lastModifiedBy>
  <dcterms:modified xsi:type="dcterms:W3CDTF">2022-01-07T08:36:41Z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67B365809B7F4260A733711100EF53DB</vt:lpwstr>
  </property>
</Properties>
</file>